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62976" w:rsidRDefault="00962976" w:rsidP="00962976"/>
    <w:p w:rsidR="00962976" w:rsidRPr="00962976" w:rsidRDefault="00962976" w:rsidP="00962976"/>
    <w:p w:rsidR="00951CE7" w:rsidRP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  <w:r w:rsidRPr="00951CE7">
        <w:rPr>
          <w:rFonts w:ascii="Times New Roman" w:hAnsi="Times New Roman"/>
          <w:sz w:val="52"/>
          <w:szCs w:val="52"/>
        </w:rPr>
        <w:t>Аналитическая записка</w:t>
      </w:r>
    </w:p>
    <w:p w:rsidR="00951CE7" w:rsidRDefault="00951CE7" w:rsidP="00951CE7">
      <w:pPr>
        <w:pStyle w:val="ad"/>
        <w:rPr>
          <w:rFonts w:ascii="Times New Roman" w:hAnsi="Times New Roman"/>
          <w:szCs w:val="40"/>
        </w:rPr>
      </w:pPr>
    </w:p>
    <w:p w:rsidR="00951CE7" w:rsidRDefault="00951CE7" w:rsidP="00951CE7">
      <w:pPr>
        <w:pStyle w:val="ad"/>
        <w:rPr>
          <w:rFonts w:ascii="Times New Roman" w:hAnsi="Times New Roman"/>
          <w:b w:val="0"/>
          <w:i/>
          <w:szCs w:val="40"/>
        </w:rPr>
      </w:pPr>
      <w:r>
        <w:rPr>
          <w:rFonts w:ascii="Times New Roman" w:hAnsi="Times New Roman"/>
          <w:szCs w:val="40"/>
        </w:rPr>
        <w:tab/>
      </w:r>
      <w:r>
        <w:rPr>
          <w:rFonts w:ascii="Times New Roman" w:hAnsi="Times New Roman"/>
          <w:szCs w:val="40"/>
        </w:rPr>
        <w:tab/>
      </w:r>
    </w:p>
    <w:p w:rsidR="00951CE7" w:rsidRDefault="00951CE7" w:rsidP="00951CE7">
      <w:pPr>
        <w:pStyle w:val="ad"/>
        <w:jc w:val="center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Оценка качества финансового менеджмента ГРБС  муниципального образования Волосовский  муниципальный район по итогам 2016 года</w:t>
      </w: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62976" w:rsidRDefault="00962976" w:rsidP="00951CE7">
      <w:pPr>
        <w:rPr>
          <w:color w:val="FF0000"/>
          <w:sz w:val="28"/>
          <w:szCs w:val="28"/>
        </w:rPr>
      </w:pPr>
    </w:p>
    <w:p w:rsidR="00962976" w:rsidRDefault="00962976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pStyle w:val="af"/>
        <w:spacing w:before="0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8188"/>
        <w:gridCol w:w="310"/>
        <w:gridCol w:w="870"/>
      </w:tblGrid>
      <w:tr w:rsidR="00951CE7" w:rsidRPr="00760470" w:rsidTr="00760470"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951CE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1. Аналитическая записка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3-</w:t>
            </w:r>
            <w:r w:rsidR="00760470">
              <w:rPr>
                <w:sz w:val="28"/>
                <w:szCs w:val="28"/>
              </w:rPr>
              <w:t>9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760470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2. Рейтинг ГРБС по оценке качества финансового менеджмента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7604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0470" w:rsidRPr="00760470" w:rsidRDefault="00951CE7" w:rsidP="0076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 xml:space="preserve">3. </w:t>
            </w:r>
            <w:r w:rsidR="00760470" w:rsidRPr="00760470">
              <w:rPr>
                <w:sz w:val="28"/>
                <w:szCs w:val="28"/>
              </w:rPr>
              <w:t>Рекомендации по повышению качества финансового менед</w:t>
            </w:r>
            <w:r w:rsidR="00760470" w:rsidRPr="00760470">
              <w:rPr>
                <w:sz w:val="28"/>
                <w:szCs w:val="28"/>
              </w:rPr>
              <w:t>ж</w:t>
            </w:r>
            <w:r w:rsidR="00760470" w:rsidRPr="00760470">
              <w:rPr>
                <w:sz w:val="28"/>
                <w:szCs w:val="28"/>
              </w:rPr>
              <w:t>мента</w:t>
            </w:r>
          </w:p>
          <w:p w:rsidR="00951CE7" w:rsidRPr="00760470" w:rsidRDefault="00760470" w:rsidP="00760470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3.1. Рекомендации по повышению качества (совершенствованию) финансового менеджмента и проблемные показатели, общие для всех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760470" w:rsidRDefault="00760470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760470" w:rsidRPr="00760470" w:rsidRDefault="007604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760470" w:rsidP="0076047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3.2. 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финансового менеджмента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7604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760470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 xml:space="preserve">Приложение 1. </w:t>
            </w:r>
            <w:r w:rsidR="00760470">
              <w:rPr>
                <w:sz w:val="28"/>
                <w:szCs w:val="28"/>
              </w:rPr>
              <w:t>Результаты проведенной оценки качества фина</w:t>
            </w:r>
            <w:r w:rsidR="00760470">
              <w:rPr>
                <w:sz w:val="28"/>
                <w:szCs w:val="28"/>
              </w:rPr>
              <w:t>н</w:t>
            </w:r>
            <w:r w:rsidR="00760470">
              <w:rPr>
                <w:sz w:val="28"/>
                <w:szCs w:val="28"/>
              </w:rPr>
              <w:t>сового менеджмента соответствующего  ГРБС  за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103DB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CE7" w:rsidRPr="00760470" w:rsidRDefault="00951CE7" w:rsidP="00760470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 xml:space="preserve">Приложение 2. </w:t>
            </w:r>
            <w:r w:rsidR="00760470" w:rsidRPr="00760470">
              <w:rPr>
                <w:sz w:val="28"/>
                <w:szCs w:val="28"/>
              </w:rPr>
              <w:t>Информация по исполнению показателей оценки качества финанс</w:t>
            </w:r>
            <w:r w:rsidR="00760470">
              <w:rPr>
                <w:sz w:val="28"/>
                <w:szCs w:val="28"/>
              </w:rPr>
              <w:t>о</w:t>
            </w:r>
            <w:r w:rsidR="00760470" w:rsidRPr="00760470">
              <w:rPr>
                <w:sz w:val="28"/>
                <w:szCs w:val="28"/>
              </w:rPr>
              <w:t>вого мен</w:t>
            </w:r>
            <w:r w:rsidR="00760470">
              <w:rPr>
                <w:sz w:val="28"/>
                <w:szCs w:val="28"/>
              </w:rPr>
              <w:t>е</w:t>
            </w:r>
            <w:r w:rsidR="00760470" w:rsidRPr="00760470">
              <w:rPr>
                <w:sz w:val="28"/>
                <w:szCs w:val="28"/>
              </w:rPr>
              <w:t>джмента за 2016 год ГРБС Волосо</w:t>
            </w:r>
            <w:r w:rsidR="00760470" w:rsidRPr="00760470">
              <w:rPr>
                <w:sz w:val="28"/>
                <w:szCs w:val="28"/>
              </w:rPr>
              <w:t>в</w:t>
            </w:r>
            <w:r w:rsidR="00760470" w:rsidRPr="00760470"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CE7" w:rsidRPr="00760470" w:rsidRDefault="00103DB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3892" w:rsidRPr="00951CE7" w:rsidRDefault="00951CE7" w:rsidP="00951CE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51CE7">
        <w:rPr>
          <w:rFonts w:ascii="Times New Roman" w:hAnsi="Times New Roman"/>
          <w:sz w:val="36"/>
          <w:szCs w:val="36"/>
        </w:rPr>
        <w:t>Аналитическая записка</w:t>
      </w:r>
    </w:p>
    <w:p w:rsidR="00203FF4" w:rsidRPr="0094199F" w:rsidRDefault="00913892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99F">
        <w:rPr>
          <w:rFonts w:ascii="Times New Roman" w:hAnsi="Times New Roman"/>
          <w:b/>
          <w:sz w:val="28"/>
          <w:szCs w:val="28"/>
        </w:rPr>
        <w:t>О результатах проведения оценки качества финансового менеджмента главных распорядителей бюджетных средств бюджета Волосовского м</w:t>
      </w:r>
      <w:r w:rsidRPr="0094199F">
        <w:rPr>
          <w:rFonts w:ascii="Times New Roman" w:hAnsi="Times New Roman"/>
          <w:b/>
          <w:sz w:val="28"/>
          <w:szCs w:val="28"/>
        </w:rPr>
        <w:t>у</w:t>
      </w:r>
      <w:r w:rsidRPr="0094199F">
        <w:rPr>
          <w:rFonts w:ascii="Times New Roman" w:hAnsi="Times New Roman"/>
          <w:b/>
          <w:sz w:val="28"/>
          <w:szCs w:val="28"/>
        </w:rPr>
        <w:t>ниципального района за 2016 год</w:t>
      </w:r>
    </w:p>
    <w:p w:rsidR="00913892" w:rsidRPr="0094199F" w:rsidRDefault="00913892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3892" w:rsidRPr="0094199F" w:rsidRDefault="00913892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В соответствии с Постановлением администрации Волосовского мун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>ципального района от 10 августа 2016 года № 1208 «О порядке проведения оценки качества финансового менеджмента главных распорядителей средств бюджета Волосовского муниципального района Ленинградской области»   проведена оценка качества финансового менеджмента главных распорядит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>лей бюджетных средств бюджета Волосовского муниципального района (д</w:t>
      </w:r>
      <w:r w:rsidRPr="0094199F">
        <w:rPr>
          <w:rFonts w:ascii="Times New Roman" w:hAnsi="Times New Roman"/>
          <w:sz w:val="28"/>
          <w:szCs w:val="28"/>
        </w:rPr>
        <w:t>а</w:t>
      </w:r>
      <w:r w:rsidRPr="0094199F">
        <w:rPr>
          <w:rFonts w:ascii="Times New Roman" w:hAnsi="Times New Roman"/>
          <w:sz w:val="28"/>
          <w:szCs w:val="28"/>
        </w:rPr>
        <w:t>лее – оценка качества, ГРБС) за 2016 год.</w:t>
      </w:r>
    </w:p>
    <w:p w:rsidR="00913892" w:rsidRPr="0094199F" w:rsidRDefault="00913892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Оценка качества проводилась по 6 ГРБС</w:t>
      </w:r>
      <w:r w:rsidR="00D02365" w:rsidRPr="0094199F">
        <w:rPr>
          <w:rFonts w:ascii="Times New Roman" w:hAnsi="Times New Roman"/>
          <w:sz w:val="28"/>
          <w:szCs w:val="28"/>
        </w:rPr>
        <w:t>:</w:t>
      </w:r>
    </w:p>
    <w:p w:rsidR="00D02365" w:rsidRPr="0094199F" w:rsidRDefault="00D02365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Администрация муниципального образования Волосовский муниц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>пальный район Ленинградской области;</w:t>
      </w:r>
    </w:p>
    <w:p w:rsidR="00D02365" w:rsidRPr="0094199F" w:rsidRDefault="00D02365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муниципального образования Волосовский муниципальный район Лени</w:t>
      </w:r>
      <w:r w:rsidRPr="0094199F">
        <w:rPr>
          <w:rFonts w:ascii="Times New Roman" w:hAnsi="Times New Roman"/>
          <w:sz w:val="28"/>
          <w:szCs w:val="28"/>
        </w:rPr>
        <w:t>н</w:t>
      </w:r>
      <w:r w:rsidRPr="0094199F">
        <w:rPr>
          <w:rFonts w:ascii="Times New Roman" w:hAnsi="Times New Roman"/>
          <w:sz w:val="28"/>
          <w:szCs w:val="28"/>
        </w:rPr>
        <w:t>градской области</w:t>
      </w:r>
    </w:p>
    <w:p w:rsidR="00D02365" w:rsidRPr="0094199F" w:rsidRDefault="00D02365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образования администрации Волосовского муниципального района Ленинградской области</w:t>
      </w:r>
    </w:p>
    <w:p w:rsidR="00D02365" w:rsidRPr="0094199F" w:rsidRDefault="00D02365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финансов администрации Волосовского муниципального ра</w:t>
      </w:r>
      <w:r w:rsidRPr="0094199F">
        <w:rPr>
          <w:rFonts w:ascii="Times New Roman" w:hAnsi="Times New Roman"/>
          <w:sz w:val="28"/>
          <w:szCs w:val="28"/>
        </w:rPr>
        <w:t>й</w:t>
      </w:r>
      <w:r w:rsidRPr="0094199F">
        <w:rPr>
          <w:rFonts w:ascii="Times New Roman" w:hAnsi="Times New Roman"/>
          <w:sz w:val="28"/>
          <w:szCs w:val="28"/>
        </w:rPr>
        <w:t>она Ленинградской области;</w:t>
      </w:r>
    </w:p>
    <w:p w:rsidR="00D02365" w:rsidRPr="0094199F" w:rsidRDefault="00D02365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социальной защиты населения администрации Волосовского муниципального района Ленинградской области;</w:t>
      </w:r>
    </w:p>
    <w:p w:rsidR="00D02365" w:rsidRPr="0094199F" w:rsidRDefault="00D02365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по городскому хозяйству администрации муниципального о</w:t>
      </w:r>
      <w:r w:rsidRPr="0094199F">
        <w:rPr>
          <w:rFonts w:ascii="Times New Roman" w:hAnsi="Times New Roman"/>
          <w:sz w:val="28"/>
          <w:szCs w:val="28"/>
        </w:rPr>
        <w:t>б</w:t>
      </w:r>
      <w:r w:rsidRPr="0094199F">
        <w:rPr>
          <w:rFonts w:ascii="Times New Roman" w:hAnsi="Times New Roman"/>
          <w:sz w:val="28"/>
          <w:szCs w:val="28"/>
        </w:rPr>
        <w:t>разования Волосовский муниципальный район Ленинградской области.</w:t>
      </w:r>
    </w:p>
    <w:p w:rsidR="00D02365" w:rsidRPr="0094199F" w:rsidRDefault="00D02365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892" w:rsidRPr="0094199F" w:rsidRDefault="00913892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В качестве исходных данных для проведения оценки качества использ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вались материалы и сведения, представленные  структурными подраздел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ниями администрации </w:t>
      </w:r>
      <w:r w:rsidR="00BF1120" w:rsidRPr="0094199F">
        <w:rPr>
          <w:rFonts w:ascii="Times New Roman" w:hAnsi="Times New Roman"/>
          <w:sz w:val="28"/>
          <w:szCs w:val="28"/>
        </w:rPr>
        <w:t>В</w:t>
      </w:r>
      <w:r w:rsidRPr="0094199F">
        <w:rPr>
          <w:rFonts w:ascii="Times New Roman" w:hAnsi="Times New Roman"/>
          <w:sz w:val="28"/>
          <w:szCs w:val="28"/>
        </w:rPr>
        <w:t xml:space="preserve">олосовского муниципального района </w:t>
      </w:r>
      <w:r w:rsidR="006F1F49" w:rsidRPr="0094199F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6F1F49" w:rsidRPr="0094199F" w:rsidRDefault="006F1F49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При проведении оценки качества  оценивались:</w:t>
      </w:r>
    </w:p>
    <w:p w:rsidR="006F1F49" w:rsidRPr="0094199F" w:rsidRDefault="006F1F49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механизм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планирования расходов бюджета;</w:t>
      </w:r>
    </w:p>
    <w:p w:rsidR="006F1F49" w:rsidRPr="0094199F" w:rsidRDefault="006F1F49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CA53D7" w:rsidRPr="0094199F">
        <w:rPr>
          <w:rFonts w:ascii="Times New Roman" w:hAnsi="Times New Roman"/>
          <w:sz w:val="28"/>
          <w:szCs w:val="28"/>
        </w:rPr>
        <w:t>р</w:t>
      </w:r>
      <w:r w:rsidRPr="0094199F">
        <w:rPr>
          <w:rFonts w:ascii="Times New Roman" w:hAnsi="Times New Roman"/>
          <w:sz w:val="28"/>
          <w:szCs w:val="28"/>
        </w:rPr>
        <w:t>езультат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исполнения бюджета в части  расходов;</w:t>
      </w:r>
    </w:p>
    <w:p w:rsidR="006F1F49" w:rsidRPr="0094199F" w:rsidRDefault="006F1F49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управлени</w:t>
      </w:r>
      <w:r w:rsidR="00CA53D7" w:rsidRPr="0094199F">
        <w:rPr>
          <w:rFonts w:ascii="Times New Roman" w:hAnsi="Times New Roman"/>
          <w:sz w:val="28"/>
          <w:szCs w:val="28"/>
        </w:rPr>
        <w:t xml:space="preserve">е </w:t>
      </w:r>
      <w:r w:rsidRPr="0094199F">
        <w:rPr>
          <w:rFonts w:ascii="Times New Roman" w:hAnsi="Times New Roman"/>
          <w:sz w:val="28"/>
          <w:szCs w:val="28"/>
        </w:rPr>
        <w:t>обязательствами в процессе исполнения бюджета;</w:t>
      </w:r>
    </w:p>
    <w:p w:rsidR="006F1F49" w:rsidRPr="0094199F" w:rsidRDefault="006F1F49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состояни</w:t>
      </w:r>
      <w:r w:rsidR="00CA53D7"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учета и отчетности;</w:t>
      </w:r>
    </w:p>
    <w:p w:rsidR="006F1F49" w:rsidRPr="0094199F" w:rsidRDefault="006F1F49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организации контроля</w:t>
      </w:r>
      <w:r w:rsidR="00CA53D7" w:rsidRPr="0094199F">
        <w:rPr>
          <w:rFonts w:ascii="Times New Roman" w:hAnsi="Times New Roman"/>
          <w:sz w:val="28"/>
          <w:szCs w:val="28"/>
        </w:rPr>
        <w:t>.</w:t>
      </w:r>
    </w:p>
    <w:p w:rsidR="00CA53D7" w:rsidRPr="0094199F" w:rsidRDefault="00CA53D7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3D7" w:rsidRPr="0094199F" w:rsidRDefault="00CA53D7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Удельный вес каждой группы показателей в общей оценке качества с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ставляет:</w:t>
      </w:r>
    </w:p>
    <w:p w:rsidR="00913892" w:rsidRPr="0094199F" w:rsidRDefault="00913892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3D7" w:rsidRPr="0094199F" w:rsidRDefault="00CA53D7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оценка механизмов планирования расходов бюджета – 11</w:t>
      </w:r>
      <w:r w:rsidR="00962976">
        <w:rPr>
          <w:rFonts w:ascii="Times New Roman" w:hAnsi="Times New Roman"/>
          <w:sz w:val="28"/>
          <w:szCs w:val="28"/>
        </w:rPr>
        <w:t>,9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оценка результатов исполнения бюджета в части  расходов – </w:t>
      </w:r>
      <w:r w:rsidR="00962976">
        <w:rPr>
          <w:rFonts w:ascii="Times New Roman" w:hAnsi="Times New Roman"/>
          <w:sz w:val="28"/>
          <w:szCs w:val="28"/>
        </w:rPr>
        <w:t>29,4</w:t>
      </w:r>
      <w:r w:rsidRPr="0094199F">
        <w:rPr>
          <w:rFonts w:ascii="Times New Roman" w:hAnsi="Times New Roman"/>
          <w:sz w:val="28"/>
          <w:szCs w:val="28"/>
        </w:rPr>
        <w:t>% ;</w:t>
      </w:r>
    </w:p>
    <w:p w:rsidR="00CA53D7" w:rsidRPr="0094199F" w:rsidRDefault="00CA53D7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 xml:space="preserve">- оценка управления обязательствами в процессе исполнения бюджета – </w:t>
      </w:r>
      <w:r w:rsidR="00962976">
        <w:rPr>
          <w:rFonts w:ascii="Times New Roman" w:hAnsi="Times New Roman"/>
          <w:sz w:val="28"/>
          <w:szCs w:val="28"/>
        </w:rPr>
        <w:t>23,5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оценка состояния учета и отчетности  - 17</w:t>
      </w:r>
      <w:r w:rsidR="00962976">
        <w:rPr>
          <w:rFonts w:ascii="Times New Roman" w:hAnsi="Times New Roman"/>
          <w:sz w:val="28"/>
          <w:szCs w:val="28"/>
        </w:rPr>
        <w:t>,6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оценка организации контроля  -  17</w:t>
      </w:r>
      <w:r w:rsidR="00962976">
        <w:rPr>
          <w:rFonts w:ascii="Times New Roman" w:hAnsi="Times New Roman"/>
          <w:sz w:val="28"/>
          <w:szCs w:val="28"/>
        </w:rPr>
        <w:t>,6</w:t>
      </w:r>
      <w:r w:rsidRPr="0094199F">
        <w:rPr>
          <w:rFonts w:ascii="Times New Roman" w:hAnsi="Times New Roman"/>
          <w:sz w:val="28"/>
          <w:szCs w:val="28"/>
        </w:rPr>
        <w:t>%.</w:t>
      </w:r>
    </w:p>
    <w:p w:rsidR="00BF1120" w:rsidRPr="0094199F" w:rsidRDefault="00BF1120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120" w:rsidRPr="0094199F" w:rsidRDefault="00BF1120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1120" w:rsidRPr="0094199F" w:rsidRDefault="00BF1120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120" w:rsidRPr="0094199F" w:rsidRDefault="00BF1120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28D3" w:rsidRPr="0094199F" w:rsidRDefault="00BF28D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1.  Механизмы планирования расходов ГРБС  оценивались по следующим показателям:</w:t>
      </w:r>
    </w:p>
    <w:p w:rsidR="00BF28D3" w:rsidRPr="0094199F" w:rsidRDefault="00BF28D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Своевременность представления реестра расходных  обязательств главн</w:t>
      </w:r>
      <w:r w:rsidRPr="0094199F">
        <w:rPr>
          <w:rFonts w:ascii="Times New Roman" w:hAnsi="Times New Roman"/>
          <w:sz w:val="28"/>
          <w:szCs w:val="28"/>
        </w:rPr>
        <w:t>ы</w:t>
      </w:r>
      <w:r w:rsidRPr="0094199F">
        <w:rPr>
          <w:rFonts w:ascii="Times New Roman" w:hAnsi="Times New Roman"/>
          <w:sz w:val="28"/>
          <w:szCs w:val="28"/>
        </w:rPr>
        <w:t>ми распорядителями бюджетных средств (РРО).</w:t>
      </w:r>
    </w:p>
    <w:p w:rsidR="00BF28D3" w:rsidRPr="0094199F" w:rsidRDefault="00BF28D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BF28D3" w:rsidRPr="0094199F" w:rsidRDefault="00BF28D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Нарушений по  ГРБС не установлено.</w:t>
      </w:r>
    </w:p>
    <w:p w:rsidR="00BF28D3" w:rsidRPr="0094199F" w:rsidRDefault="00BF28D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</w:t>
      </w:r>
      <w:r w:rsidR="00972791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>Доля бюджетных ассигнований, запланированных на реализацию райо</w:t>
      </w:r>
      <w:r w:rsidRPr="0094199F">
        <w:rPr>
          <w:rFonts w:ascii="Times New Roman" w:hAnsi="Times New Roman"/>
          <w:sz w:val="28"/>
          <w:szCs w:val="28"/>
        </w:rPr>
        <w:t>н</w:t>
      </w:r>
      <w:r w:rsidRPr="0094199F">
        <w:rPr>
          <w:rFonts w:ascii="Times New Roman" w:hAnsi="Times New Roman"/>
          <w:sz w:val="28"/>
          <w:szCs w:val="28"/>
        </w:rPr>
        <w:t>ных целевых  программ.</w:t>
      </w:r>
    </w:p>
    <w:p w:rsidR="00BF28D3" w:rsidRPr="0094199F" w:rsidRDefault="00BF28D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355F7" w:rsidRPr="0094199F" w:rsidRDefault="008355F7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Позитивно расценивается достижени</w:t>
      </w:r>
      <w:r w:rsidR="00EF2BE8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уровня, при котором   не менее 80 %  ассигнований (без учета субвенций и субсидий)  из местного бюджета пр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>ходятся на финансирование муниципальных программ.</w:t>
      </w:r>
    </w:p>
    <w:p w:rsidR="00D02365" w:rsidRPr="0094199F" w:rsidRDefault="00D02365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По  Комитету по управлению муниципальным имуществом доля </w:t>
      </w:r>
      <w:r w:rsidR="00BF28D3" w:rsidRPr="0094199F">
        <w:rPr>
          <w:rFonts w:ascii="Times New Roman" w:hAnsi="Times New Roman"/>
          <w:sz w:val="28"/>
          <w:szCs w:val="28"/>
        </w:rPr>
        <w:t>ассигнов</w:t>
      </w:r>
      <w:r w:rsidR="00BF28D3" w:rsidRPr="0094199F">
        <w:rPr>
          <w:rFonts w:ascii="Times New Roman" w:hAnsi="Times New Roman"/>
          <w:sz w:val="28"/>
          <w:szCs w:val="28"/>
        </w:rPr>
        <w:t>а</w:t>
      </w:r>
      <w:r w:rsidR="00BF28D3" w:rsidRPr="0094199F">
        <w:rPr>
          <w:rFonts w:ascii="Times New Roman" w:hAnsi="Times New Roman"/>
          <w:sz w:val="28"/>
          <w:szCs w:val="28"/>
        </w:rPr>
        <w:t xml:space="preserve">ний </w:t>
      </w:r>
      <w:r w:rsidR="008355F7" w:rsidRPr="0094199F">
        <w:rPr>
          <w:rFonts w:ascii="Times New Roman" w:hAnsi="Times New Roman"/>
          <w:sz w:val="28"/>
          <w:szCs w:val="28"/>
        </w:rPr>
        <w:t>(</w:t>
      </w:r>
      <w:r w:rsidR="00BF28D3" w:rsidRPr="0094199F">
        <w:rPr>
          <w:rFonts w:ascii="Times New Roman" w:hAnsi="Times New Roman"/>
          <w:sz w:val="28"/>
          <w:szCs w:val="28"/>
        </w:rPr>
        <w:t>без учета субвенций и субсидий</w:t>
      </w:r>
      <w:r w:rsidR="008355F7" w:rsidRPr="0094199F">
        <w:rPr>
          <w:rFonts w:ascii="Times New Roman" w:hAnsi="Times New Roman"/>
          <w:sz w:val="28"/>
          <w:szCs w:val="28"/>
        </w:rPr>
        <w:t>)</w:t>
      </w:r>
      <w:r w:rsidR="00BF28D3" w:rsidRPr="0094199F">
        <w:rPr>
          <w:rFonts w:ascii="Times New Roman" w:hAnsi="Times New Roman"/>
          <w:sz w:val="28"/>
          <w:szCs w:val="28"/>
        </w:rPr>
        <w:t xml:space="preserve"> из местного бюджета приходится на финансирование  районных целевых программ </w:t>
      </w:r>
      <w:r w:rsidRPr="0094199F">
        <w:rPr>
          <w:rFonts w:ascii="Times New Roman" w:hAnsi="Times New Roman"/>
          <w:sz w:val="28"/>
          <w:szCs w:val="28"/>
        </w:rPr>
        <w:t>составил</w:t>
      </w:r>
      <w:r w:rsidR="008355F7" w:rsidRPr="0094199F">
        <w:rPr>
          <w:rFonts w:ascii="Times New Roman" w:hAnsi="Times New Roman"/>
          <w:sz w:val="28"/>
          <w:szCs w:val="28"/>
        </w:rPr>
        <w:t>а</w:t>
      </w:r>
      <w:r w:rsidRPr="0094199F">
        <w:rPr>
          <w:rFonts w:ascii="Times New Roman" w:hAnsi="Times New Roman"/>
          <w:sz w:val="28"/>
          <w:szCs w:val="28"/>
        </w:rPr>
        <w:t xml:space="preserve"> 32,2%</w:t>
      </w:r>
    </w:p>
    <w:p w:rsidR="00BF28D3" w:rsidRPr="0094199F" w:rsidRDefault="00D02365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У пяти ГРБС </w:t>
      </w:r>
      <w:r w:rsidR="00BF28D3" w:rsidRPr="0094199F">
        <w:rPr>
          <w:rFonts w:ascii="Times New Roman" w:hAnsi="Times New Roman"/>
          <w:sz w:val="28"/>
          <w:szCs w:val="28"/>
        </w:rPr>
        <w:t xml:space="preserve"> </w:t>
      </w:r>
      <w:r w:rsidR="00375428" w:rsidRPr="0094199F">
        <w:rPr>
          <w:rFonts w:ascii="Times New Roman" w:hAnsi="Times New Roman"/>
          <w:sz w:val="28"/>
          <w:szCs w:val="28"/>
        </w:rPr>
        <w:t xml:space="preserve"> </w:t>
      </w:r>
      <w:r w:rsidR="00687614" w:rsidRPr="0094199F">
        <w:rPr>
          <w:rFonts w:ascii="Times New Roman" w:hAnsi="Times New Roman"/>
          <w:sz w:val="28"/>
          <w:szCs w:val="28"/>
        </w:rPr>
        <w:t>доля расходов бюджета, распределенных  по муниципальным программам   составляет более 80 %.</w:t>
      </w: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2. Оценка результатов исполнения бюджета в части  расходов  оценивались по следующим показателям: </w:t>
      </w: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Уровень исполнения расходов ГРБС за счет средств местного бюджета (без учета субвенций и  субсидий)</w:t>
      </w: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355F7" w:rsidRPr="0094199F" w:rsidRDefault="008355F7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>Позитивно расценивается уровень исполнения расходов за счет средств м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>стного бюджета не менее 95%</w:t>
      </w:r>
    </w:p>
    <w:p w:rsidR="008355F7" w:rsidRPr="0094199F" w:rsidRDefault="00077CF2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55F7" w:rsidRPr="0094199F">
        <w:rPr>
          <w:rFonts w:ascii="Times New Roman" w:hAnsi="Times New Roman"/>
          <w:sz w:val="28"/>
          <w:szCs w:val="28"/>
        </w:rPr>
        <w:t>По  Комитету финансов уровень исполнения (без учета субвенций и субс</w:t>
      </w:r>
      <w:r w:rsidR="008355F7" w:rsidRPr="0094199F">
        <w:rPr>
          <w:rFonts w:ascii="Times New Roman" w:hAnsi="Times New Roman"/>
          <w:sz w:val="28"/>
          <w:szCs w:val="28"/>
        </w:rPr>
        <w:t>и</w:t>
      </w:r>
      <w:r w:rsidR="008355F7" w:rsidRPr="0094199F">
        <w:rPr>
          <w:rFonts w:ascii="Times New Roman" w:hAnsi="Times New Roman"/>
          <w:sz w:val="28"/>
          <w:szCs w:val="28"/>
        </w:rPr>
        <w:t xml:space="preserve">дий) расходов местного бюджета составил 88,0 %. </w:t>
      </w:r>
    </w:p>
    <w:p w:rsidR="008355F7" w:rsidRPr="0094199F" w:rsidRDefault="008355F7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Исполнение  расходов пяти ГРБС  имеют показатель  более   90,0 %.</w:t>
      </w: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 Доля  объема расходов бюджета в IV квартале от среднего объема расх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дов за   1-III кварталы (без учета субвенций и субсидий)</w:t>
      </w: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355F7" w:rsidRPr="0094199F" w:rsidRDefault="008355F7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Показатель выявляет концентрацию расходов ГРБС в IV квартале отчетного финансового года. Целевым ориентиром является значение показателя, ра</w:t>
      </w:r>
      <w:r w:rsidRPr="0094199F">
        <w:rPr>
          <w:rFonts w:ascii="Times New Roman" w:hAnsi="Times New Roman"/>
          <w:sz w:val="28"/>
          <w:szCs w:val="28"/>
        </w:rPr>
        <w:t>в</w:t>
      </w:r>
      <w:r w:rsidRPr="0094199F">
        <w:rPr>
          <w:rFonts w:ascii="Times New Roman" w:hAnsi="Times New Roman"/>
          <w:sz w:val="28"/>
          <w:szCs w:val="28"/>
        </w:rPr>
        <w:t>ное или меньше 25%.</w:t>
      </w:r>
    </w:p>
    <w:p w:rsidR="00647978" w:rsidRPr="0094199F" w:rsidRDefault="008355F7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   </w:t>
      </w:r>
      <w:r w:rsidR="008C6422" w:rsidRPr="0094199F">
        <w:rPr>
          <w:rFonts w:ascii="Times New Roman" w:hAnsi="Times New Roman"/>
          <w:sz w:val="28"/>
          <w:szCs w:val="28"/>
        </w:rPr>
        <w:t xml:space="preserve">По  Комитету по управлению муниципальным имуществом доля объема  расходов бюджета в </w:t>
      </w:r>
      <w:r w:rsidR="008C6422" w:rsidRPr="0094199F">
        <w:rPr>
          <w:rFonts w:ascii="Times New Roman" w:hAnsi="Times New Roman"/>
          <w:sz w:val="28"/>
          <w:szCs w:val="28"/>
          <w:lang w:val="en-US"/>
        </w:rPr>
        <w:t>IV</w:t>
      </w:r>
      <w:r w:rsidR="008C6422" w:rsidRPr="0094199F">
        <w:rPr>
          <w:rFonts w:ascii="Times New Roman" w:hAnsi="Times New Roman"/>
          <w:sz w:val="28"/>
          <w:szCs w:val="28"/>
        </w:rPr>
        <w:t xml:space="preserve"> квартале  составляет 16 %, </w:t>
      </w:r>
      <w:r w:rsidR="00647978" w:rsidRPr="0094199F">
        <w:rPr>
          <w:rFonts w:ascii="Times New Roman" w:hAnsi="Times New Roman"/>
          <w:sz w:val="28"/>
          <w:szCs w:val="28"/>
        </w:rPr>
        <w:t xml:space="preserve"> по комитету финансов 27%.</w:t>
      </w:r>
    </w:p>
    <w:p w:rsidR="00647978" w:rsidRPr="0094199F" w:rsidRDefault="0064797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У четырех  ГРБС  данный показатель более 40 %.</w:t>
      </w: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3) 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</w: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47978" w:rsidRPr="0094199F" w:rsidRDefault="0064797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Большое количество уведомлений о внесении изменений в роспись расходов и лимитов бюджетных обязательств в ходе исполнения бюджета свидетел</w:t>
      </w:r>
      <w:r w:rsidRPr="0094199F">
        <w:rPr>
          <w:rFonts w:ascii="Times New Roman" w:hAnsi="Times New Roman"/>
          <w:sz w:val="28"/>
          <w:szCs w:val="28"/>
        </w:rPr>
        <w:t>ь</w:t>
      </w:r>
      <w:r w:rsidRPr="0094199F">
        <w:rPr>
          <w:rFonts w:ascii="Times New Roman" w:hAnsi="Times New Roman"/>
          <w:sz w:val="28"/>
          <w:szCs w:val="28"/>
        </w:rPr>
        <w:t>ствует о низком качестве работы ГРБС  по бюджетному планированию (оценка проведена из расчета 1 условное учреждение).</w:t>
      </w:r>
    </w:p>
    <w:p w:rsidR="00647978" w:rsidRPr="0094199F" w:rsidRDefault="0064797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комитету социальной защиты населения  наименьшее  количество ув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>домлений о внесении изменений в роспись расходов и лимитов бюджетных обязательств в ходе исполнения бюджета – 20 шт.</w:t>
      </w: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4) Объем неисполненных бюджетных ассигнований на конец отчетного ф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>нансового года</w:t>
      </w:r>
      <w:r w:rsidR="00C94D5A" w:rsidRPr="0094199F"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87614" w:rsidRPr="0094199F" w:rsidRDefault="00C94D5A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Показатель позволяет оценить объем неисполненных на конец года бюдже</w:t>
      </w:r>
      <w:r w:rsidRPr="0094199F">
        <w:rPr>
          <w:rFonts w:ascii="Times New Roman" w:hAnsi="Times New Roman"/>
          <w:sz w:val="28"/>
          <w:szCs w:val="28"/>
        </w:rPr>
        <w:t>т</w:t>
      </w:r>
      <w:r w:rsidRPr="0094199F">
        <w:rPr>
          <w:rFonts w:ascii="Times New Roman" w:hAnsi="Times New Roman"/>
          <w:sz w:val="28"/>
          <w:szCs w:val="28"/>
        </w:rPr>
        <w:t>ных ассигнований. Целевым ориентиром для ГРБС является значение показ</w:t>
      </w:r>
      <w:r w:rsidRPr="0094199F">
        <w:rPr>
          <w:rFonts w:ascii="Times New Roman" w:hAnsi="Times New Roman"/>
          <w:sz w:val="28"/>
          <w:szCs w:val="28"/>
        </w:rPr>
        <w:t>а</w:t>
      </w:r>
      <w:r w:rsidRPr="0094199F">
        <w:rPr>
          <w:rFonts w:ascii="Times New Roman" w:hAnsi="Times New Roman"/>
          <w:sz w:val="28"/>
          <w:szCs w:val="28"/>
        </w:rPr>
        <w:t>теля, не превосходящее 0,5%.</w:t>
      </w:r>
    </w:p>
    <w:p w:rsidR="00C94D5A" w:rsidRPr="0094199F" w:rsidRDefault="00C94D5A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Лучший показатель  0,03 %  у  Комитета по управлению имуществом.</w:t>
      </w: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5) Оценка качества планирования бюджетных ассигнований</w:t>
      </w: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C94D5A" w:rsidRPr="0094199F" w:rsidRDefault="00C94D5A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Показатель позволяет оценить  качество планирования бюджетных ассигн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ваний ГРБС. Среди шести ГРБС   у четверых  значение показателя равное 4.</w:t>
      </w: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3.  Оценка управления обязательствами в процессе исполнения бюджета</w:t>
      </w:r>
    </w:p>
    <w:p w:rsidR="00C94D5A" w:rsidRPr="0094199F" w:rsidRDefault="0064797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</w:t>
      </w:r>
      <w:r w:rsidR="00C94D5A" w:rsidRPr="0094199F">
        <w:rPr>
          <w:rFonts w:ascii="Times New Roman" w:hAnsi="Times New Roman"/>
          <w:sz w:val="28"/>
          <w:szCs w:val="28"/>
        </w:rPr>
        <w:t xml:space="preserve"> Изменение дебиторской задолженности ГРБС и подведомственных ему муниципальных учреждений в отчетном периоде по сравнению с началом г</w:t>
      </w:r>
      <w:r w:rsidR="00C94D5A" w:rsidRPr="0094199F">
        <w:rPr>
          <w:rFonts w:ascii="Times New Roman" w:hAnsi="Times New Roman"/>
          <w:sz w:val="28"/>
          <w:szCs w:val="28"/>
        </w:rPr>
        <w:t>о</w:t>
      </w:r>
      <w:r w:rsidR="00C94D5A" w:rsidRPr="0094199F">
        <w:rPr>
          <w:rFonts w:ascii="Times New Roman" w:hAnsi="Times New Roman"/>
          <w:sz w:val="28"/>
          <w:szCs w:val="28"/>
        </w:rPr>
        <w:t>да.</w:t>
      </w: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87614" w:rsidRPr="0094199F" w:rsidRDefault="00C94D5A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>При оценке данного показателя позитивно расценивается отсутствие деб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>торской задолженности.  По Комитету финансов и Комитету социальной з</w:t>
      </w:r>
      <w:r w:rsidRPr="0094199F">
        <w:rPr>
          <w:rFonts w:ascii="Times New Roman" w:hAnsi="Times New Roman"/>
          <w:sz w:val="28"/>
          <w:szCs w:val="28"/>
        </w:rPr>
        <w:t>а</w:t>
      </w:r>
      <w:r w:rsidRPr="0094199F">
        <w:rPr>
          <w:rFonts w:ascii="Times New Roman" w:hAnsi="Times New Roman"/>
          <w:sz w:val="28"/>
          <w:szCs w:val="28"/>
        </w:rPr>
        <w:t xml:space="preserve">щиты  дебиторская задолженность  снижена на  50 и  99,6 % соответственно.                 </w:t>
      </w:r>
    </w:p>
    <w:p w:rsidR="00687614" w:rsidRPr="0094199F" w:rsidRDefault="00C94D5A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 Наличие у ГРБС и подведомственных ему муниципальных учреждений просроченной кредиторской задолженности.</w:t>
      </w: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87614" w:rsidRPr="0094199F" w:rsidRDefault="001E337C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всех ГРБС просроченная кредиторская задолженность отсутствует.</w:t>
      </w:r>
    </w:p>
    <w:p w:rsidR="00687614" w:rsidRPr="0094199F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7614" w:rsidRPr="0094199F" w:rsidRDefault="00C94D5A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3) Соблюдение Порядка санкционирования оплаты денежных обязательств ГРБС. Доля отклоненных платежных поручений по отношению к общему объёму.</w:t>
      </w:r>
    </w:p>
    <w:p w:rsidR="00687614" w:rsidRDefault="00687614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1E337C" w:rsidRPr="0094199F" w:rsidRDefault="001E337C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1F38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ГРБС указанная доля не превысила </w:t>
      </w:r>
      <w:r w:rsidR="001F38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%, </w:t>
      </w:r>
      <w:r w:rsidR="001F3846">
        <w:rPr>
          <w:rFonts w:ascii="Times New Roman" w:hAnsi="Times New Roman"/>
          <w:sz w:val="28"/>
          <w:szCs w:val="28"/>
        </w:rPr>
        <w:t>У Комитета образования сост</w:t>
      </w:r>
      <w:r w:rsidR="001F3846">
        <w:rPr>
          <w:rFonts w:ascii="Times New Roman" w:hAnsi="Times New Roman"/>
          <w:sz w:val="28"/>
          <w:szCs w:val="28"/>
        </w:rPr>
        <w:t>а</w:t>
      </w:r>
      <w:r w:rsidR="001F3846">
        <w:rPr>
          <w:rFonts w:ascii="Times New Roman" w:hAnsi="Times New Roman"/>
          <w:sz w:val="28"/>
          <w:szCs w:val="28"/>
        </w:rPr>
        <w:t>вила 7%</w:t>
      </w:r>
    </w:p>
    <w:p w:rsidR="00687614" w:rsidRPr="0094199F" w:rsidRDefault="00C62842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4) Ежемесячное изменение кредиторской  задолженности ГРБС и подведо</w:t>
      </w:r>
      <w:r w:rsidRPr="0094199F">
        <w:rPr>
          <w:rFonts w:ascii="Times New Roman" w:hAnsi="Times New Roman"/>
          <w:sz w:val="28"/>
          <w:szCs w:val="28"/>
        </w:rPr>
        <w:t>м</w:t>
      </w:r>
      <w:r w:rsidRPr="0094199F">
        <w:rPr>
          <w:rFonts w:ascii="Times New Roman" w:hAnsi="Times New Roman"/>
          <w:sz w:val="28"/>
          <w:szCs w:val="28"/>
        </w:rPr>
        <w:t>ственных ему муниципальных учреждений в течение отчетного периода.</w:t>
      </w:r>
    </w:p>
    <w:p w:rsidR="00687614" w:rsidRPr="0094199F" w:rsidRDefault="001F38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всех ГРБС прирост кредиторской задолженности ни в одном месяце отче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периода текущего финансового года не превышает 1/12 годовых план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расходов.</w:t>
      </w:r>
    </w:p>
    <w:p w:rsidR="00C62842" w:rsidRPr="0094199F" w:rsidRDefault="00C62842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4. Оценка состояния учета и отчетности.</w:t>
      </w:r>
    </w:p>
    <w:p w:rsidR="00C62842" w:rsidRPr="0094199F" w:rsidRDefault="00C62842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Представление в составе годовой бюджетной отчетности  сведений о м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рах по повышению   эффективности  расходования   бюджетных средств .  </w:t>
      </w:r>
    </w:p>
    <w:p w:rsidR="00C62842" w:rsidRPr="00A46777" w:rsidRDefault="00C62842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A46777" w:rsidRPr="00A46777" w:rsidRDefault="00A46777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всех ГРБС представлены сведения </w:t>
      </w:r>
      <w:r w:rsidRPr="0094199F">
        <w:rPr>
          <w:rFonts w:ascii="Times New Roman" w:hAnsi="Times New Roman"/>
          <w:sz w:val="28"/>
          <w:szCs w:val="28"/>
        </w:rPr>
        <w:t xml:space="preserve">о мерах по повышению   эффективности  расходования   бюджетных средств .  </w:t>
      </w:r>
    </w:p>
    <w:p w:rsidR="003F7E53" w:rsidRPr="0094199F" w:rsidRDefault="003F7E5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 Соблюдение сроков представления ГРБС годовой бюджетной отчетности.</w:t>
      </w:r>
    </w:p>
    <w:p w:rsidR="003F7E53" w:rsidRPr="0094199F" w:rsidRDefault="003F7E5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3F7E53" w:rsidRDefault="003F7E5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При оценке данного показателя оценивается  соблюдения  сроков предста</w:t>
      </w:r>
      <w:r w:rsidRPr="0094199F">
        <w:rPr>
          <w:rFonts w:ascii="Times New Roman" w:hAnsi="Times New Roman"/>
          <w:sz w:val="28"/>
          <w:szCs w:val="28"/>
        </w:rPr>
        <w:t>в</w:t>
      </w:r>
      <w:r w:rsidRPr="0094199F">
        <w:rPr>
          <w:rFonts w:ascii="Times New Roman" w:hAnsi="Times New Roman"/>
          <w:sz w:val="28"/>
          <w:szCs w:val="28"/>
        </w:rPr>
        <w:t>ления годовой бюджетной отчетности в соответствии   срокам, установле</w:t>
      </w:r>
      <w:r w:rsidRPr="0094199F">
        <w:rPr>
          <w:rFonts w:ascii="Times New Roman" w:hAnsi="Times New Roman"/>
          <w:sz w:val="28"/>
          <w:szCs w:val="28"/>
        </w:rPr>
        <w:t>н</w:t>
      </w:r>
      <w:r w:rsidRPr="0094199F">
        <w:rPr>
          <w:rFonts w:ascii="Times New Roman" w:hAnsi="Times New Roman"/>
          <w:sz w:val="28"/>
          <w:szCs w:val="28"/>
        </w:rPr>
        <w:t xml:space="preserve">ным  </w:t>
      </w:r>
      <w:r w:rsidR="00A46777">
        <w:rPr>
          <w:rFonts w:ascii="Times New Roman" w:hAnsi="Times New Roman"/>
          <w:sz w:val="28"/>
          <w:szCs w:val="28"/>
        </w:rPr>
        <w:t>Приказом комитета финансов администрации ВМР Ленинградской о</w:t>
      </w:r>
      <w:r w:rsidR="00A46777">
        <w:rPr>
          <w:rFonts w:ascii="Times New Roman" w:hAnsi="Times New Roman"/>
          <w:sz w:val="28"/>
          <w:szCs w:val="28"/>
        </w:rPr>
        <w:t>б</w:t>
      </w:r>
      <w:r w:rsidR="00A46777">
        <w:rPr>
          <w:rFonts w:ascii="Times New Roman" w:hAnsi="Times New Roman"/>
          <w:sz w:val="28"/>
          <w:szCs w:val="28"/>
        </w:rPr>
        <w:t>ласти №74 от 30.12.2016 г.</w:t>
      </w:r>
    </w:p>
    <w:p w:rsidR="00A46777" w:rsidRPr="0094199F" w:rsidRDefault="00A46777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нарушением сроков представлена отчетность у 3 </w:t>
      </w:r>
      <w:r w:rsidR="00983105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БС (Администрация ВМР, Комитет образования</w:t>
      </w:r>
      <w:r w:rsidR="002E34B2">
        <w:rPr>
          <w:rFonts w:ascii="Times New Roman" w:hAnsi="Times New Roman"/>
          <w:sz w:val="28"/>
          <w:szCs w:val="28"/>
        </w:rPr>
        <w:t>, Комитет городского хозяйство).</w:t>
      </w:r>
      <w:r w:rsidR="00356ECE" w:rsidRPr="00356E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6ECE"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Соблюдение сроков сдачи отчетности в </w:t>
      </w:r>
      <w:r w:rsidR="00356ECE" w:rsidRPr="0094199F">
        <w:rPr>
          <w:rFonts w:ascii="Times New Roman" w:eastAsia="Calibri" w:hAnsi="Times New Roman"/>
          <w:sz w:val="28"/>
          <w:szCs w:val="28"/>
        </w:rPr>
        <w:t>Комитет</w:t>
      </w:r>
      <w:r w:rsidR="00356ECE"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 финансов </w:t>
      </w:r>
      <w:r w:rsidR="00356ECE" w:rsidRPr="0094199F">
        <w:rPr>
          <w:rFonts w:ascii="Times New Roman" w:eastAsia="Calibri" w:hAnsi="Times New Roman"/>
          <w:sz w:val="28"/>
          <w:szCs w:val="28"/>
        </w:rPr>
        <w:t>а</w:t>
      </w:r>
      <w:r w:rsidR="00356ECE"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356ECE" w:rsidRPr="0094199F">
        <w:rPr>
          <w:rFonts w:ascii="Times New Roman" w:eastAsia="Calibri" w:hAnsi="Times New Roman"/>
          <w:sz w:val="28"/>
          <w:szCs w:val="28"/>
        </w:rPr>
        <w:t>Волосовского муниципального района</w:t>
      </w:r>
      <w:r w:rsidR="00356ECE" w:rsidRPr="0094199F">
        <w:rPr>
          <w:rFonts w:ascii="Times New Roman" w:eastAsia="Calibri" w:hAnsi="Times New Roman"/>
          <w:sz w:val="28"/>
          <w:szCs w:val="28"/>
          <w:lang w:eastAsia="en-US"/>
        </w:rPr>
        <w:t>,   максимальное обеспечение ее достоверности по-прежнему являются одними из важных элементов мониторинга.</w:t>
      </w:r>
    </w:p>
    <w:p w:rsidR="00C62842" w:rsidRPr="0094199F" w:rsidRDefault="003F7E5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3) Соответствие предоставленной в комитет финансов бюджетной отчетн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 xml:space="preserve">сти установленным требованиям       </w:t>
      </w:r>
    </w:p>
    <w:p w:rsidR="003F7E53" w:rsidRPr="0094199F" w:rsidRDefault="003F7E5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3F7E53" w:rsidRDefault="003F7E5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При оценке данного показателя  оценивалось качество  предоставленной бюджетной отчетности  за 2016 год. </w:t>
      </w:r>
    </w:p>
    <w:p w:rsidR="002E34B2" w:rsidRPr="0094199F" w:rsidRDefault="002E34B2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всех ГРБС отчетность не соответствует требованиям.</w:t>
      </w:r>
    </w:p>
    <w:p w:rsidR="00356ECE" w:rsidRPr="0094199F" w:rsidRDefault="00356ECE" w:rsidP="00356ECE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7E53" w:rsidRPr="0094199F" w:rsidRDefault="003F7E5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5. Оценка организации  контроля.</w:t>
      </w:r>
    </w:p>
    <w:p w:rsidR="003F7E53" w:rsidRPr="0094199F" w:rsidRDefault="003F7E5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>1)  Наличие недостач и хищений денежных средств и  материальных ценн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стей.</w:t>
      </w:r>
    </w:p>
    <w:p w:rsidR="003F7E53" w:rsidRDefault="003F7E5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2E34B2" w:rsidRPr="0094199F" w:rsidRDefault="002E34B2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всех ГРБС </w:t>
      </w:r>
      <w:r w:rsidR="00CA3E83">
        <w:rPr>
          <w:rFonts w:ascii="Times New Roman" w:hAnsi="Times New Roman"/>
          <w:sz w:val="28"/>
          <w:szCs w:val="28"/>
        </w:rPr>
        <w:t>данный показатель равен 0</w:t>
      </w:r>
    </w:p>
    <w:p w:rsidR="003F7E53" w:rsidRPr="0094199F" w:rsidRDefault="003F7E5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 Осуществление мероприятий внутреннего контроля.</w:t>
      </w:r>
    </w:p>
    <w:p w:rsidR="003F7E53" w:rsidRPr="0094199F" w:rsidRDefault="003F7E5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94199F" w:rsidRPr="0094199F" w:rsidRDefault="0094199F" w:rsidP="00941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ГРБС осуществляли мероприятия внутреннего контроля, соответству</w:t>
      </w:r>
      <w:r w:rsidRPr="0094199F">
        <w:rPr>
          <w:rFonts w:ascii="Times New Roman" w:hAnsi="Times New Roman"/>
          <w:sz w:val="28"/>
          <w:szCs w:val="28"/>
        </w:rPr>
        <w:t>ю</w:t>
      </w:r>
      <w:r w:rsidRPr="0094199F">
        <w:rPr>
          <w:rFonts w:ascii="Times New Roman" w:hAnsi="Times New Roman"/>
          <w:sz w:val="28"/>
          <w:szCs w:val="28"/>
        </w:rPr>
        <w:t>щие  следующим характеристикам: контроль за результативностью (эффе</w:t>
      </w:r>
      <w:r w:rsidRPr="0094199F">
        <w:rPr>
          <w:rFonts w:ascii="Times New Roman" w:hAnsi="Times New Roman"/>
          <w:sz w:val="28"/>
          <w:szCs w:val="28"/>
        </w:rPr>
        <w:t>к</w:t>
      </w:r>
      <w:r w:rsidRPr="0094199F">
        <w:rPr>
          <w:rFonts w:ascii="Times New Roman" w:hAnsi="Times New Roman"/>
          <w:sz w:val="28"/>
          <w:szCs w:val="28"/>
        </w:rPr>
        <w:t>тивностью и экономичностью) использования бюджетных средств, обеспеч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>ние надежности и точности информации; соблюдение норм законодательс</w:t>
      </w:r>
      <w:r w:rsidRPr="0094199F">
        <w:rPr>
          <w:rFonts w:ascii="Times New Roman" w:hAnsi="Times New Roman"/>
          <w:sz w:val="28"/>
          <w:szCs w:val="28"/>
        </w:rPr>
        <w:t>т</w:t>
      </w:r>
      <w:r w:rsidRPr="0094199F">
        <w:rPr>
          <w:rFonts w:ascii="Times New Roman" w:hAnsi="Times New Roman"/>
          <w:sz w:val="28"/>
          <w:szCs w:val="28"/>
        </w:rPr>
        <w:t>ва, локальных правовых актов, выполнение мероприятий, планов в соотве</w:t>
      </w:r>
      <w:r w:rsidRPr="0094199F">
        <w:rPr>
          <w:rFonts w:ascii="Times New Roman" w:hAnsi="Times New Roman"/>
          <w:sz w:val="28"/>
          <w:szCs w:val="28"/>
        </w:rPr>
        <w:t>т</w:t>
      </w:r>
      <w:r w:rsidRPr="0094199F">
        <w:rPr>
          <w:rFonts w:ascii="Times New Roman" w:hAnsi="Times New Roman"/>
          <w:sz w:val="28"/>
          <w:szCs w:val="28"/>
        </w:rPr>
        <w:t>ствии с целями и задачами главного распорядителя; о чем свидетельствует наличие в годовой бюджетной отчетности за отчетный финансовый год з</w:t>
      </w:r>
      <w:r w:rsidRPr="0094199F">
        <w:rPr>
          <w:rFonts w:ascii="Times New Roman" w:hAnsi="Times New Roman"/>
          <w:sz w:val="28"/>
          <w:szCs w:val="28"/>
        </w:rPr>
        <w:t>а</w:t>
      </w:r>
      <w:r w:rsidRPr="0094199F">
        <w:rPr>
          <w:rFonts w:ascii="Times New Roman" w:hAnsi="Times New Roman"/>
          <w:sz w:val="28"/>
          <w:szCs w:val="28"/>
        </w:rPr>
        <w:t>полненной таблицы «Сведения о результатах мероприятий внутреннего ко</w:t>
      </w:r>
      <w:r w:rsidRPr="0094199F">
        <w:rPr>
          <w:rFonts w:ascii="Times New Roman" w:hAnsi="Times New Roman"/>
          <w:sz w:val="28"/>
          <w:szCs w:val="28"/>
        </w:rPr>
        <w:t>н</w:t>
      </w:r>
      <w:r w:rsidRPr="0094199F">
        <w:rPr>
          <w:rFonts w:ascii="Times New Roman" w:hAnsi="Times New Roman"/>
          <w:sz w:val="28"/>
          <w:szCs w:val="28"/>
        </w:rPr>
        <w:t xml:space="preserve">троля» по форме, утвержденной приказом Министерства финансов РФ. </w:t>
      </w:r>
    </w:p>
    <w:p w:rsidR="009A1231" w:rsidRPr="0094199F" w:rsidRDefault="009A1231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3) Проведение инвентаризаций.</w:t>
      </w:r>
    </w:p>
    <w:p w:rsidR="003F7E53" w:rsidRPr="0094199F" w:rsidRDefault="003F7E53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94199F" w:rsidRPr="0094199F" w:rsidRDefault="00983105" w:rsidP="0094199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 всех ГРБС таблица «Сведения о проведении инвентаризаций»  заполнена и соответствует требованиям.</w:t>
      </w:r>
    </w:p>
    <w:p w:rsidR="006B7C77" w:rsidRDefault="006B7C77" w:rsidP="006B7C77">
      <w:pPr>
        <w:ind w:firstLine="709"/>
        <w:rPr>
          <w:b/>
          <w:sz w:val="28"/>
          <w:szCs w:val="28"/>
        </w:rPr>
      </w:pPr>
      <w:bookmarkStart w:id="0" w:name="_Toc261889901"/>
    </w:p>
    <w:p w:rsidR="006B7C77" w:rsidRDefault="006B7C77" w:rsidP="006B7C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оценки</w:t>
      </w:r>
      <w:bookmarkEnd w:id="0"/>
    </w:p>
    <w:p w:rsidR="006B7C77" w:rsidRDefault="006B7C77" w:rsidP="006B7C77">
      <w:pPr>
        <w:ind w:firstLine="709"/>
        <w:rPr>
          <w:b/>
          <w:sz w:val="28"/>
          <w:szCs w:val="28"/>
        </w:rPr>
      </w:pPr>
    </w:p>
    <w:p w:rsidR="006B7C77" w:rsidRDefault="006B7C77" w:rsidP="006B7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качества финансового менеджмента ГРБС:</w:t>
      </w:r>
    </w:p>
    <w:p w:rsidR="006B7C77" w:rsidRDefault="006B7C77" w:rsidP="006B7C77">
      <w:pPr>
        <w:pStyle w:val="a7"/>
        <w:numPr>
          <w:ilvl w:val="0"/>
          <w:numId w:val="2"/>
        </w:numPr>
        <w:tabs>
          <w:tab w:val="left" w:pos="99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сформирован рейтинг ГРБС по оценке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 (Раздел 2 настоящего отчета);</w:t>
      </w:r>
    </w:p>
    <w:p w:rsidR="006B7C77" w:rsidRDefault="006B7C77" w:rsidP="006B7C77">
      <w:pPr>
        <w:pStyle w:val="a7"/>
        <w:numPr>
          <w:ilvl w:val="0"/>
          <w:numId w:val="2"/>
        </w:numPr>
        <w:tabs>
          <w:tab w:val="left" w:pos="99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сформулированы рекомендации по повышению качества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менеджмента ГРБС (Раздел 3,4 настоящего отчета).</w:t>
      </w:r>
    </w:p>
    <w:p w:rsidR="006B7C77" w:rsidRDefault="006B7C77" w:rsidP="006B7C77">
      <w:pPr>
        <w:ind w:firstLine="709"/>
        <w:jc w:val="both"/>
        <w:rPr>
          <w:sz w:val="22"/>
          <w:szCs w:val="20"/>
        </w:rPr>
      </w:pPr>
      <w:r>
        <w:rPr>
          <w:sz w:val="28"/>
          <w:szCs w:val="28"/>
        </w:rPr>
        <w:t xml:space="preserve">По результатам оценки финансового менеджмента ГРБС качество нельзя  признать высоким. </w:t>
      </w:r>
      <w:r>
        <w:rPr>
          <w:rFonts w:eastAsia="Calibri"/>
          <w:sz w:val="28"/>
        </w:rPr>
        <w:t xml:space="preserve">Средняя итоговая оценка по ГРБС  составляет 60,2 баллов </w:t>
      </w:r>
      <w:r>
        <w:rPr>
          <w:sz w:val="28"/>
          <w:szCs w:val="28"/>
        </w:rPr>
        <w:t>при максимальной - 85 баллов</w:t>
      </w:r>
      <w:r>
        <w:rPr>
          <w:rFonts w:eastAsia="Calibri"/>
          <w:sz w:val="28"/>
        </w:rPr>
        <w:t>, что в целом объясняется низким кач</w:t>
      </w:r>
      <w:r>
        <w:rPr>
          <w:rFonts w:eastAsia="Calibri"/>
          <w:sz w:val="28"/>
        </w:rPr>
        <w:t>е</w:t>
      </w:r>
      <w:r>
        <w:rPr>
          <w:rFonts w:eastAsia="Calibri"/>
          <w:sz w:val="28"/>
        </w:rPr>
        <w:t>ством организации бюджетного процесса в системе ГРБС, а также недост</w:t>
      </w:r>
      <w:r>
        <w:rPr>
          <w:rFonts w:eastAsia="Calibri"/>
          <w:sz w:val="28"/>
        </w:rPr>
        <w:t>а</w:t>
      </w:r>
      <w:r>
        <w:rPr>
          <w:rFonts w:eastAsia="Calibri"/>
          <w:sz w:val="28"/>
        </w:rPr>
        <w:t>точным использованием</w:t>
      </w:r>
      <w:r w:rsidR="00356ECE">
        <w:rPr>
          <w:rFonts w:eastAsia="Calibri"/>
          <w:sz w:val="28"/>
        </w:rPr>
        <w:t xml:space="preserve">  инструментов для</w:t>
      </w:r>
      <w:r>
        <w:rPr>
          <w:rFonts w:eastAsia="Calibri"/>
          <w:sz w:val="28"/>
        </w:rPr>
        <w:t xml:space="preserve"> </w:t>
      </w:r>
      <w:r w:rsidR="00356ECE">
        <w:rPr>
          <w:sz w:val="26"/>
          <w:szCs w:val="26"/>
        </w:rPr>
        <w:t>повышения качества планирования и исполнения расходов бюджета</w:t>
      </w:r>
      <w:r>
        <w:rPr>
          <w:rFonts w:eastAsia="Calibri"/>
          <w:sz w:val="28"/>
        </w:rPr>
        <w:t xml:space="preserve">. </w:t>
      </w:r>
    </w:p>
    <w:p w:rsidR="006B7C77" w:rsidRDefault="007C737E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Ниже средней о</w:t>
      </w:r>
      <w:r w:rsidR="006B7C77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="006B7C7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B7C77">
        <w:rPr>
          <w:sz w:val="28"/>
          <w:szCs w:val="28"/>
        </w:rPr>
        <w:t xml:space="preserve"> ГРБС бюджета Волосовского муниципальн</w:t>
      </w:r>
      <w:r w:rsidR="006B7C77">
        <w:rPr>
          <w:sz w:val="28"/>
          <w:szCs w:val="28"/>
        </w:rPr>
        <w:t>о</w:t>
      </w:r>
      <w:r w:rsidR="006B7C77">
        <w:rPr>
          <w:sz w:val="28"/>
          <w:szCs w:val="28"/>
        </w:rPr>
        <w:t>го района  присвоена:</w:t>
      </w:r>
    </w:p>
    <w:p w:rsidR="007C737E" w:rsidRPr="0094199F" w:rsidRDefault="007C737E" w:rsidP="007C73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Администрация муниципального образования Волосовский муниц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>пальный район Ленинградской области;</w:t>
      </w:r>
    </w:p>
    <w:p w:rsidR="007C737E" w:rsidRPr="0094199F" w:rsidRDefault="007C737E" w:rsidP="007C73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образования администрации Волосовского муниципального района Ленинградской области</w:t>
      </w:r>
    </w:p>
    <w:p w:rsidR="007C737E" w:rsidRPr="0094199F" w:rsidRDefault="007C737E" w:rsidP="007C73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по городскому хозяйству администрации муниципального о</w:t>
      </w:r>
      <w:r w:rsidRPr="0094199F">
        <w:rPr>
          <w:rFonts w:ascii="Times New Roman" w:hAnsi="Times New Roman"/>
          <w:sz w:val="28"/>
          <w:szCs w:val="28"/>
        </w:rPr>
        <w:t>б</w:t>
      </w:r>
      <w:r w:rsidRPr="0094199F">
        <w:rPr>
          <w:rFonts w:ascii="Times New Roman" w:hAnsi="Times New Roman"/>
          <w:sz w:val="28"/>
          <w:szCs w:val="28"/>
        </w:rPr>
        <w:t>разования Волосовский муниципальный район Ленинградской области.</w:t>
      </w:r>
    </w:p>
    <w:p w:rsidR="007C737E" w:rsidRDefault="007C737E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 снижения качества финансового менеджме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ГРБС  являются:</w:t>
      </w:r>
    </w:p>
    <w:p w:rsidR="006B7C77" w:rsidRDefault="006B7C77" w:rsidP="006B7C77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исполнению бюджета в части расходов:</w:t>
      </w:r>
    </w:p>
    <w:p w:rsidR="007C737E" w:rsidRDefault="007C737E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снижени</w:t>
      </w:r>
      <w:r w:rsidR="0057685F">
        <w:rPr>
          <w:sz w:val="28"/>
          <w:szCs w:val="28"/>
        </w:rPr>
        <w:t>е</w:t>
      </w:r>
      <w:r>
        <w:rPr>
          <w:sz w:val="28"/>
          <w:szCs w:val="28"/>
        </w:rPr>
        <w:t xml:space="preserve">  у</w:t>
      </w:r>
      <w:r w:rsidRPr="007C737E">
        <w:rPr>
          <w:sz w:val="28"/>
          <w:szCs w:val="28"/>
        </w:rPr>
        <w:t>ровн</w:t>
      </w:r>
      <w:r>
        <w:rPr>
          <w:sz w:val="28"/>
          <w:szCs w:val="28"/>
        </w:rPr>
        <w:t>я</w:t>
      </w:r>
      <w:r w:rsidRPr="007C737E">
        <w:rPr>
          <w:sz w:val="28"/>
          <w:szCs w:val="28"/>
        </w:rPr>
        <w:t xml:space="preserve"> исполнения расходов ГРБС за счет средств местн</w:t>
      </w:r>
      <w:r w:rsidRPr="007C737E">
        <w:rPr>
          <w:sz w:val="28"/>
          <w:szCs w:val="28"/>
        </w:rPr>
        <w:t>о</w:t>
      </w:r>
      <w:r w:rsidRPr="007C737E">
        <w:rPr>
          <w:sz w:val="28"/>
          <w:szCs w:val="28"/>
        </w:rPr>
        <w:t>го  бюджета  (без учета субвенций и  субсидий)</w:t>
      </w:r>
      <w:r>
        <w:rPr>
          <w:sz w:val="28"/>
          <w:szCs w:val="28"/>
        </w:rPr>
        <w:t>;</w:t>
      </w:r>
    </w:p>
    <w:p w:rsidR="006B7C77" w:rsidRDefault="006B7C77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неравномерност</w:t>
      </w:r>
      <w:r w:rsidR="0057685F">
        <w:rPr>
          <w:sz w:val="28"/>
          <w:szCs w:val="28"/>
        </w:rPr>
        <w:t>ь</w:t>
      </w:r>
      <w:r>
        <w:rPr>
          <w:sz w:val="28"/>
          <w:szCs w:val="28"/>
        </w:rPr>
        <w:t xml:space="preserve"> распределения бюджетных ассигнований в течение отчетного года, большой объем бюджетных средств к исполнению остается на 4 квартал;</w:t>
      </w:r>
    </w:p>
    <w:p w:rsidR="007C737E" w:rsidRDefault="007C737E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737E">
        <w:rPr>
          <w:sz w:val="28"/>
          <w:szCs w:val="28"/>
        </w:rPr>
        <w:t>оличество уведомлений о внесении изменений в бюджетную  ро</w:t>
      </w:r>
      <w:r w:rsidRPr="007C737E">
        <w:rPr>
          <w:sz w:val="28"/>
          <w:szCs w:val="28"/>
        </w:rPr>
        <w:t>с</w:t>
      </w:r>
      <w:r w:rsidRPr="007C737E">
        <w:rPr>
          <w:sz w:val="28"/>
          <w:szCs w:val="28"/>
        </w:rPr>
        <w:t>пись расходов и лимитов бюджетных обязательств, связанных с перемещен</w:t>
      </w:r>
      <w:r w:rsidRPr="007C737E">
        <w:rPr>
          <w:sz w:val="28"/>
          <w:szCs w:val="28"/>
        </w:rPr>
        <w:t>и</w:t>
      </w:r>
      <w:r w:rsidRPr="007C737E">
        <w:rPr>
          <w:sz w:val="28"/>
          <w:szCs w:val="28"/>
        </w:rPr>
        <w:t>ем бюджетных ассигнований, в ходе исполнения бюджета</w:t>
      </w:r>
      <w:r>
        <w:rPr>
          <w:sz w:val="28"/>
          <w:szCs w:val="28"/>
        </w:rPr>
        <w:t xml:space="preserve"> существенно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вышает установленный критерий;</w:t>
      </w:r>
    </w:p>
    <w:p w:rsidR="007C737E" w:rsidRDefault="007C737E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7C737E">
        <w:rPr>
          <w:sz w:val="28"/>
          <w:szCs w:val="28"/>
        </w:rPr>
        <w:t>неисполненных бюджетных ассигнований на конец отчетного финансового года</w:t>
      </w:r>
      <w:r>
        <w:rPr>
          <w:sz w:val="28"/>
          <w:szCs w:val="28"/>
        </w:rPr>
        <w:t>;</w:t>
      </w:r>
    </w:p>
    <w:p w:rsidR="007C737E" w:rsidRDefault="0057685F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</w:t>
      </w:r>
      <w:r w:rsidR="007C737E" w:rsidRPr="007C737E">
        <w:rPr>
          <w:sz w:val="28"/>
          <w:szCs w:val="28"/>
        </w:rPr>
        <w:t>план</w:t>
      </w:r>
      <w:r>
        <w:rPr>
          <w:sz w:val="28"/>
          <w:szCs w:val="28"/>
        </w:rPr>
        <w:t>овых</w:t>
      </w:r>
      <w:r w:rsidR="007C737E" w:rsidRPr="007C737E">
        <w:rPr>
          <w:sz w:val="28"/>
          <w:szCs w:val="28"/>
        </w:rPr>
        <w:t xml:space="preserve"> бюджетных   ассигнований</w:t>
      </w:r>
      <w:r>
        <w:rPr>
          <w:sz w:val="28"/>
          <w:szCs w:val="28"/>
        </w:rPr>
        <w:t xml:space="preserve">  в отчетном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де.</w:t>
      </w:r>
    </w:p>
    <w:p w:rsidR="006B7C77" w:rsidRDefault="006B7C77" w:rsidP="006B7C77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 оценке </w:t>
      </w:r>
      <w:r w:rsidR="0057685F" w:rsidRPr="0057685F">
        <w:rPr>
          <w:i/>
          <w:iCs/>
          <w:sz w:val="28"/>
          <w:szCs w:val="28"/>
        </w:rPr>
        <w:t>управления обязательствами в процессе исполнения бю</w:t>
      </w:r>
      <w:r w:rsidR="0057685F" w:rsidRPr="0057685F">
        <w:rPr>
          <w:i/>
          <w:iCs/>
          <w:sz w:val="28"/>
          <w:szCs w:val="28"/>
        </w:rPr>
        <w:t>д</w:t>
      </w:r>
      <w:r w:rsidR="0057685F" w:rsidRPr="0057685F">
        <w:rPr>
          <w:i/>
          <w:iCs/>
          <w:sz w:val="28"/>
          <w:szCs w:val="28"/>
        </w:rPr>
        <w:t>жета</w:t>
      </w:r>
      <w:r>
        <w:rPr>
          <w:sz w:val="28"/>
          <w:szCs w:val="28"/>
        </w:rPr>
        <w:t>:</w:t>
      </w:r>
    </w:p>
    <w:p w:rsidR="0057685F" w:rsidRDefault="0057685F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7685F">
        <w:rPr>
          <w:sz w:val="28"/>
          <w:szCs w:val="28"/>
        </w:rPr>
        <w:t>зменение дебиторской задолженности ГРБС и подведомственных ему муниципальных учреждений в отчетном периоде по сравнению с нач</w:t>
      </w:r>
      <w:r w:rsidRPr="0057685F">
        <w:rPr>
          <w:sz w:val="28"/>
          <w:szCs w:val="28"/>
        </w:rPr>
        <w:t>а</w:t>
      </w:r>
      <w:r w:rsidRPr="0057685F">
        <w:rPr>
          <w:sz w:val="28"/>
          <w:szCs w:val="28"/>
        </w:rPr>
        <w:t>лом года</w:t>
      </w:r>
      <w:r>
        <w:rPr>
          <w:sz w:val="28"/>
          <w:szCs w:val="28"/>
        </w:rPr>
        <w:t>.</w:t>
      </w:r>
    </w:p>
    <w:p w:rsidR="0057685F" w:rsidRDefault="0057685F" w:rsidP="006B7C77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</w:t>
      </w:r>
      <w:r w:rsidRPr="0057685F">
        <w:rPr>
          <w:i/>
          <w:sz w:val="28"/>
          <w:szCs w:val="28"/>
        </w:rPr>
        <w:t xml:space="preserve"> оценке состояния учета и отчетности</w:t>
      </w:r>
      <w:r>
        <w:rPr>
          <w:i/>
          <w:sz w:val="28"/>
          <w:szCs w:val="28"/>
        </w:rPr>
        <w:t>:</w:t>
      </w:r>
    </w:p>
    <w:p w:rsidR="0057685F" w:rsidRDefault="0057685F" w:rsidP="006B7C77">
      <w:pPr>
        <w:ind w:firstLine="851"/>
        <w:jc w:val="both"/>
        <w:rPr>
          <w:sz w:val="28"/>
          <w:szCs w:val="28"/>
        </w:rPr>
      </w:pPr>
      <w:r w:rsidRPr="0057685F">
        <w:rPr>
          <w:sz w:val="28"/>
          <w:szCs w:val="28"/>
        </w:rPr>
        <w:t>соблюдение сроков представления ГРБС годовой  бюджетной отче</w:t>
      </w:r>
      <w:r w:rsidRPr="0057685F">
        <w:rPr>
          <w:sz w:val="28"/>
          <w:szCs w:val="28"/>
        </w:rPr>
        <w:t>т</w:t>
      </w:r>
      <w:r w:rsidRPr="0057685F">
        <w:rPr>
          <w:sz w:val="28"/>
          <w:szCs w:val="28"/>
        </w:rPr>
        <w:t>ности</w:t>
      </w:r>
      <w:r>
        <w:rPr>
          <w:sz w:val="28"/>
          <w:szCs w:val="28"/>
        </w:rPr>
        <w:t>;</w:t>
      </w:r>
    </w:p>
    <w:p w:rsidR="0057685F" w:rsidRPr="0057685F" w:rsidRDefault="0057685F" w:rsidP="006B7C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7685F">
        <w:rPr>
          <w:sz w:val="28"/>
          <w:szCs w:val="28"/>
        </w:rPr>
        <w:t>оответствие предоставленной в комитет финансов бюджетной отче</w:t>
      </w:r>
      <w:r w:rsidRPr="0057685F">
        <w:rPr>
          <w:sz w:val="28"/>
          <w:szCs w:val="28"/>
        </w:rPr>
        <w:t>т</w:t>
      </w:r>
      <w:r w:rsidRPr="0057685F">
        <w:rPr>
          <w:sz w:val="28"/>
          <w:szCs w:val="28"/>
        </w:rPr>
        <w:t>ности установленным требованиям</w:t>
      </w:r>
      <w:r>
        <w:rPr>
          <w:sz w:val="28"/>
          <w:szCs w:val="28"/>
        </w:rPr>
        <w:t>.</w:t>
      </w:r>
      <w:r w:rsidRPr="0057685F">
        <w:rPr>
          <w:sz w:val="28"/>
          <w:szCs w:val="28"/>
        </w:rPr>
        <w:t xml:space="preserve">    </w:t>
      </w:r>
    </w:p>
    <w:p w:rsidR="0057685F" w:rsidRDefault="0057685F" w:rsidP="0057685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проведения комитетом оценки качества финансового менеджме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та главным распорядителям необходимо повысить качество работы по всем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правлениям: бюджетному планированию, исполнению бюджета  района, учету и отчетности, контролю в бюджетной сфере.</w:t>
      </w:r>
    </w:p>
    <w:p w:rsidR="0057685F" w:rsidRDefault="0057685F" w:rsidP="0057685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максимальных итоговых оценок качества финансового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неджмента комитет финансов администрации Волосовского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  рекомендует главным распорядителям:</w:t>
      </w:r>
    </w:p>
    <w:p w:rsidR="0057685F" w:rsidRDefault="0057685F" w:rsidP="0057685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соблюдать бюджетное законодательство Российской Федерации, </w:t>
      </w:r>
      <w:r w:rsidR="0017078D">
        <w:rPr>
          <w:sz w:val="26"/>
          <w:szCs w:val="26"/>
        </w:rPr>
        <w:t>Л</w:t>
      </w:r>
      <w:r w:rsidR="00962976">
        <w:rPr>
          <w:sz w:val="26"/>
          <w:szCs w:val="26"/>
        </w:rPr>
        <w:t>е</w:t>
      </w:r>
      <w:r w:rsidR="0017078D">
        <w:rPr>
          <w:sz w:val="26"/>
          <w:szCs w:val="26"/>
        </w:rPr>
        <w:t>ни</w:t>
      </w:r>
      <w:r w:rsidR="0017078D">
        <w:rPr>
          <w:sz w:val="26"/>
          <w:szCs w:val="26"/>
        </w:rPr>
        <w:t>н</w:t>
      </w:r>
      <w:r w:rsidR="0017078D">
        <w:rPr>
          <w:sz w:val="26"/>
          <w:szCs w:val="26"/>
        </w:rPr>
        <w:t>градской</w:t>
      </w:r>
      <w:r>
        <w:rPr>
          <w:sz w:val="26"/>
          <w:szCs w:val="26"/>
        </w:rPr>
        <w:t xml:space="preserve"> области, а также муниципальные правовые акты;</w:t>
      </w:r>
    </w:p>
    <w:p w:rsidR="0057685F" w:rsidRDefault="0057685F" w:rsidP="0057685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целях повышения качества бюджетного процесса соблюдать порядки и сроки, установленные постановлениями администрации Волосовского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и приказами комитета финансов администрации Волосовского муниципального района</w:t>
      </w:r>
      <w:r w:rsidR="0017078D">
        <w:rPr>
          <w:sz w:val="26"/>
          <w:szCs w:val="26"/>
        </w:rPr>
        <w:t xml:space="preserve">  в части предоставления бюджетной и бухгалтерской о</w:t>
      </w:r>
      <w:r w:rsidR="0017078D">
        <w:rPr>
          <w:sz w:val="26"/>
          <w:szCs w:val="26"/>
        </w:rPr>
        <w:t>т</w:t>
      </w:r>
      <w:r w:rsidR="0017078D">
        <w:rPr>
          <w:sz w:val="26"/>
          <w:szCs w:val="26"/>
        </w:rPr>
        <w:t>четности</w:t>
      </w:r>
      <w:r>
        <w:rPr>
          <w:sz w:val="26"/>
          <w:szCs w:val="26"/>
        </w:rPr>
        <w:t>;</w:t>
      </w:r>
    </w:p>
    <w:p w:rsidR="0057685F" w:rsidRDefault="0057685F" w:rsidP="0057685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повышать качество планирования и исполнения расходов бюджета, то есть вносить предложения по внесению изменений в сводную бюджетную роспись,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миты бюджетных обязательств только в случае крайней необходимости и провести работу с подведомственными учреждениями о необходимости более тщательного планирования бюджетных ассигнований, лимитов бюджетных обязательств;</w:t>
      </w:r>
    </w:p>
    <w:p w:rsidR="00356ECE" w:rsidRDefault="00356ECE" w:rsidP="00356EC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-разрабатывать и принимать муниципальные программы по всем направл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ниям деятельности, то есть осуществлять планирование бюджетных ассигнований в рамках муниципальных программ;</w:t>
      </w:r>
    </w:p>
    <w:p w:rsidR="0057685F" w:rsidRDefault="0057685F" w:rsidP="0057685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стремиться к равномерному расходованию бюджетных средств в течение года;</w:t>
      </w:r>
    </w:p>
    <w:p w:rsidR="0057685F" w:rsidRDefault="0057685F" w:rsidP="0057685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качественно планировать предельные объемы финансирования;</w:t>
      </w:r>
    </w:p>
    <w:p w:rsidR="0057685F" w:rsidRDefault="0057685F" w:rsidP="0057685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ванию ранее возникшей дебиторской и кредиторской задолженности (списание, 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дение претензионной работы, реструктуризация);</w:t>
      </w:r>
    </w:p>
    <w:p w:rsidR="0057685F" w:rsidRDefault="0057685F" w:rsidP="0057685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повышать качество составления бюджетной (бухгалтерской) отчетности; </w:t>
      </w:r>
    </w:p>
    <w:p w:rsidR="0057685F" w:rsidRDefault="0057685F" w:rsidP="006B7C77">
      <w:pPr>
        <w:ind w:firstLine="851"/>
        <w:jc w:val="both"/>
        <w:rPr>
          <w:sz w:val="28"/>
          <w:szCs w:val="28"/>
        </w:rPr>
      </w:pPr>
    </w:p>
    <w:p w:rsidR="006B7C77" w:rsidRPr="0094199F" w:rsidRDefault="006B7C77" w:rsidP="00951CE7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Для  устранения недостатков в организации финансового менеджме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та главным распорядителям бюджетных средств нужно совершенствовать работу по улучшению показателей с наибольшим отклонением от макс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мально возможного уровня качества; провести комплекс мероприятий, н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правленных на повышение результативности и эффективности использов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ния средств бюджета муниципального образования </w:t>
      </w:r>
      <w:r w:rsidRPr="0094199F">
        <w:rPr>
          <w:rFonts w:ascii="Times New Roman" w:eastAsia="Calibri" w:hAnsi="Times New Roman"/>
          <w:sz w:val="28"/>
          <w:szCs w:val="28"/>
        </w:rPr>
        <w:t>Волосовский муниц</w:t>
      </w:r>
      <w:r w:rsidRPr="0094199F">
        <w:rPr>
          <w:rFonts w:ascii="Times New Roman" w:eastAsia="Calibri" w:hAnsi="Times New Roman"/>
          <w:sz w:val="28"/>
          <w:szCs w:val="28"/>
        </w:rPr>
        <w:t>и</w:t>
      </w:r>
      <w:r w:rsidRPr="0094199F">
        <w:rPr>
          <w:rFonts w:ascii="Times New Roman" w:eastAsia="Calibri" w:hAnsi="Times New Roman"/>
          <w:sz w:val="28"/>
          <w:szCs w:val="28"/>
        </w:rPr>
        <w:t xml:space="preserve">пальный район 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 на всех этапах бюджетного процесса. </w:t>
      </w:r>
    </w:p>
    <w:p w:rsidR="00356ECE" w:rsidRPr="0094199F" w:rsidRDefault="00356ECE" w:rsidP="00951CE7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При наличии у ГРБС незначительных отклонений средней оценки от максимально возможного уровня качества финансового менеджмента нео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ходимо поддерживать достигнутый результат.</w:t>
      </w: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319A" w:rsidRDefault="00A4319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319A" w:rsidRDefault="00A4319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319A" w:rsidRDefault="00A4319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319A" w:rsidRDefault="00A4319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СВОДНЫЙ РЕЙТИНГ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"/>
        <w:gridCol w:w="709"/>
        <w:gridCol w:w="3119"/>
        <w:gridCol w:w="1701"/>
        <w:gridCol w:w="1834"/>
        <w:gridCol w:w="8"/>
        <w:gridCol w:w="1843"/>
      </w:tblGrid>
      <w:tr w:rsidR="00760470" w:rsidTr="00760470">
        <w:trPr>
          <w:gridBefore w:val="1"/>
          <w:wBefore w:w="15" w:type="dxa"/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Default="00760470" w:rsidP="00760470">
            <w:pPr>
              <w:pStyle w:val="ConsPlusCell"/>
              <w:widowControl/>
              <w:tabs>
                <w:tab w:val="left" w:pos="95"/>
              </w:tabs>
              <w:spacing w:line="276" w:lineRule="auto"/>
              <w:ind w:left="-115" w:firstLine="11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п/п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Default="00760470" w:rsidP="00025A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ГРБС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Default="00760470" w:rsidP="00025A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оценка (R)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Default="00760470" w:rsidP="00025A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Суммарная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оценка кач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(КФМ)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Default="00760470" w:rsidP="00025A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оценка кач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(MAX)     </w:t>
            </w:r>
          </w:p>
        </w:tc>
      </w:tr>
      <w:tr w:rsidR="00760470" w:rsidRPr="00760470" w:rsidTr="0076047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18"/>
                <w:szCs w:val="18"/>
              </w:rPr>
            </w:pPr>
            <w:r w:rsidRPr="007604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18"/>
                <w:szCs w:val="18"/>
              </w:rPr>
            </w:pPr>
            <w:r w:rsidRPr="007604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18"/>
                <w:szCs w:val="18"/>
              </w:rPr>
            </w:pPr>
            <w:r w:rsidRPr="007604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18"/>
                <w:szCs w:val="18"/>
              </w:rPr>
            </w:pPr>
            <w:r w:rsidRPr="007604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18"/>
                <w:szCs w:val="18"/>
              </w:rPr>
            </w:pPr>
            <w:r w:rsidRPr="00760470">
              <w:rPr>
                <w:color w:val="000000"/>
                <w:sz w:val="18"/>
                <w:szCs w:val="18"/>
              </w:rPr>
              <w:t>5</w:t>
            </w:r>
          </w:p>
        </w:tc>
      </w:tr>
      <w:tr w:rsidR="00760470" w:rsidRPr="00760470" w:rsidTr="00760470">
        <w:tblPrEx>
          <w:tblCellMar>
            <w:left w:w="108" w:type="dxa"/>
            <w:right w:w="108" w:type="dxa"/>
          </w:tblCellMar>
        </w:tblPrEx>
        <w:trPr>
          <w:trHeight w:val="15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470" w:rsidRPr="00760470" w:rsidRDefault="00760470" w:rsidP="00760470">
            <w:pPr>
              <w:jc w:val="both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Комитет социальной защиты населения а</w:t>
            </w:r>
            <w:r w:rsidRPr="00760470">
              <w:rPr>
                <w:color w:val="000000"/>
                <w:sz w:val="28"/>
                <w:szCs w:val="28"/>
              </w:rPr>
              <w:t>д</w:t>
            </w:r>
            <w:r w:rsidRPr="00760470">
              <w:rPr>
                <w:color w:val="000000"/>
                <w:sz w:val="28"/>
                <w:szCs w:val="28"/>
              </w:rPr>
              <w:t>министрации Волосо</w:t>
            </w:r>
            <w:r w:rsidRPr="00760470">
              <w:rPr>
                <w:color w:val="000000"/>
                <w:sz w:val="28"/>
                <w:szCs w:val="28"/>
              </w:rPr>
              <w:t>в</w:t>
            </w:r>
            <w:r w:rsidRPr="00760470">
              <w:rPr>
                <w:color w:val="000000"/>
                <w:sz w:val="28"/>
                <w:szCs w:val="28"/>
              </w:rPr>
              <w:t>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760470" w:rsidRPr="00760470" w:rsidTr="00760470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Комитет финансов а</w:t>
            </w:r>
            <w:r w:rsidRPr="00760470">
              <w:rPr>
                <w:color w:val="000000"/>
                <w:sz w:val="28"/>
                <w:szCs w:val="28"/>
              </w:rPr>
              <w:t>д</w:t>
            </w:r>
            <w:r w:rsidRPr="00760470">
              <w:rPr>
                <w:color w:val="000000"/>
                <w:sz w:val="28"/>
                <w:szCs w:val="28"/>
              </w:rPr>
              <w:t>министрации Волосо</w:t>
            </w:r>
            <w:r w:rsidRPr="00760470">
              <w:rPr>
                <w:color w:val="000000"/>
                <w:sz w:val="28"/>
                <w:szCs w:val="28"/>
              </w:rPr>
              <w:t>в</w:t>
            </w:r>
            <w:r w:rsidRPr="00760470">
              <w:rPr>
                <w:color w:val="000000"/>
                <w:sz w:val="28"/>
                <w:szCs w:val="28"/>
              </w:rPr>
              <w:t>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760470" w:rsidRPr="00760470" w:rsidTr="00760470">
        <w:tblPrEx>
          <w:tblCellMar>
            <w:left w:w="108" w:type="dxa"/>
            <w:right w:w="108" w:type="dxa"/>
          </w:tblCellMar>
        </w:tblPrEx>
        <w:trPr>
          <w:trHeight w:val="226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Комитет по управл</w:t>
            </w:r>
            <w:r w:rsidRPr="00760470">
              <w:rPr>
                <w:color w:val="000000"/>
                <w:sz w:val="28"/>
                <w:szCs w:val="28"/>
              </w:rPr>
              <w:t>е</w:t>
            </w:r>
            <w:r w:rsidRPr="00760470">
              <w:rPr>
                <w:color w:val="000000"/>
                <w:sz w:val="28"/>
                <w:szCs w:val="28"/>
              </w:rPr>
              <w:t>нию муниципальным имуществом админис</w:t>
            </w:r>
            <w:r w:rsidRPr="00760470">
              <w:rPr>
                <w:color w:val="000000"/>
                <w:sz w:val="28"/>
                <w:szCs w:val="28"/>
              </w:rPr>
              <w:t>т</w:t>
            </w:r>
            <w:r w:rsidRPr="00760470">
              <w:rPr>
                <w:color w:val="000000"/>
                <w:sz w:val="28"/>
                <w:szCs w:val="28"/>
              </w:rPr>
              <w:t>рации муниципального образования Волосо</w:t>
            </w:r>
            <w:r w:rsidRPr="00760470">
              <w:rPr>
                <w:color w:val="000000"/>
                <w:sz w:val="28"/>
                <w:szCs w:val="28"/>
              </w:rPr>
              <w:t>в</w:t>
            </w:r>
            <w:r w:rsidRPr="00760470">
              <w:rPr>
                <w:color w:val="000000"/>
                <w:sz w:val="28"/>
                <w:szCs w:val="28"/>
              </w:rPr>
              <w:t>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760470" w:rsidRPr="00760470" w:rsidTr="00760470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Комитет образования администрации Вол</w:t>
            </w:r>
            <w:r w:rsidRPr="00760470">
              <w:rPr>
                <w:color w:val="000000"/>
                <w:sz w:val="28"/>
                <w:szCs w:val="28"/>
              </w:rPr>
              <w:t>о</w:t>
            </w:r>
            <w:r w:rsidRPr="00760470">
              <w:rPr>
                <w:color w:val="000000"/>
                <w:sz w:val="28"/>
                <w:szCs w:val="28"/>
              </w:rPr>
              <w:t>совского муниципал</w:t>
            </w:r>
            <w:r w:rsidRPr="00760470">
              <w:rPr>
                <w:color w:val="000000"/>
                <w:sz w:val="28"/>
                <w:szCs w:val="28"/>
              </w:rPr>
              <w:t>ь</w:t>
            </w:r>
            <w:r w:rsidRPr="00760470">
              <w:rPr>
                <w:color w:val="000000"/>
                <w:sz w:val="28"/>
                <w:szCs w:val="28"/>
              </w:rPr>
              <w:t>ного района Лени</w:t>
            </w:r>
            <w:r w:rsidRPr="00760470">
              <w:rPr>
                <w:color w:val="000000"/>
                <w:sz w:val="28"/>
                <w:szCs w:val="28"/>
              </w:rPr>
              <w:t>н</w:t>
            </w:r>
            <w:r w:rsidRPr="00760470">
              <w:rPr>
                <w:color w:val="000000"/>
                <w:sz w:val="28"/>
                <w:szCs w:val="28"/>
              </w:rPr>
              <w:t>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760470" w:rsidRPr="00760470" w:rsidTr="00760470">
        <w:tblPrEx>
          <w:tblCellMar>
            <w:left w:w="108" w:type="dxa"/>
            <w:right w:w="108" w:type="dxa"/>
          </w:tblCellMar>
        </w:tblPrEx>
        <w:trPr>
          <w:trHeight w:val="187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470" w:rsidRPr="00760470" w:rsidRDefault="00760470" w:rsidP="00760470">
            <w:pPr>
              <w:jc w:val="both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Комитет по городскому хозяйству администр</w:t>
            </w:r>
            <w:r w:rsidRPr="00760470">
              <w:rPr>
                <w:color w:val="000000"/>
                <w:sz w:val="28"/>
                <w:szCs w:val="28"/>
              </w:rPr>
              <w:t>а</w:t>
            </w:r>
            <w:r w:rsidRPr="00760470">
              <w:rPr>
                <w:color w:val="000000"/>
                <w:sz w:val="28"/>
                <w:szCs w:val="28"/>
              </w:rPr>
              <w:t>ции муниципального образования Волосо</w:t>
            </w:r>
            <w:r w:rsidRPr="00760470">
              <w:rPr>
                <w:color w:val="000000"/>
                <w:sz w:val="28"/>
                <w:szCs w:val="28"/>
              </w:rPr>
              <w:t>в</w:t>
            </w:r>
            <w:r w:rsidRPr="00760470">
              <w:rPr>
                <w:color w:val="000000"/>
                <w:sz w:val="28"/>
                <w:szCs w:val="28"/>
              </w:rPr>
              <w:t>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760470" w:rsidRPr="00760470" w:rsidTr="00760470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Администрация мун</w:t>
            </w:r>
            <w:r w:rsidRPr="00760470">
              <w:rPr>
                <w:color w:val="000000"/>
                <w:sz w:val="28"/>
                <w:szCs w:val="28"/>
              </w:rPr>
              <w:t>и</w:t>
            </w:r>
            <w:r w:rsidRPr="00760470">
              <w:rPr>
                <w:color w:val="000000"/>
                <w:sz w:val="28"/>
                <w:szCs w:val="28"/>
              </w:rPr>
              <w:t>ципального образов</w:t>
            </w:r>
            <w:r w:rsidRPr="00760470">
              <w:rPr>
                <w:color w:val="000000"/>
                <w:sz w:val="28"/>
                <w:szCs w:val="28"/>
              </w:rPr>
              <w:t>а</w:t>
            </w:r>
            <w:r w:rsidRPr="00760470">
              <w:rPr>
                <w:color w:val="000000"/>
                <w:sz w:val="28"/>
                <w:szCs w:val="28"/>
              </w:rPr>
              <w:t>ния Волосовский мун</w:t>
            </w:r>
            <w:r w:rsidRPr="00760470">
              <w:rPr>
                <w:color w:val="000000"/>
                <w:sz w:val="28"/>
                <w:szCs w:val="28"/>
              </w:rPr>
              <w:t>и</w:t>
            </w:r>
            <w:r w:rsidRPr="00760470">
              <w:rPr>
                <w:color w:val="000000"/>
                <w:sz w:val="28"/>
                <w:szCs w:val="28"/>
              </w:rPr>
              <w:t>ципальный район Л</w:t>
            </w:r>
            <w:r w:rsidRPr="00760470">
              <w:rPr>
                <w:color w:val="000000"/>
                <w:sz w:val="28"/>
                <w:szCs w:val="28"/>
              </w:rPr>
              <w:t>е</w:t>
            </w:r>
            <w:r w:rsidRPr="00760470">
              <w:rPr>
                <w:color w:val="000000"/>
                <w:sz w:val="28"/>
                <w:szCs w:val="28"/>
              </w:rPr>
              <w:t>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760470" w:rsidRPr="00760470" w:rsidTr="00760470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470" w:rsidRPr="00760470" w:rsidRDefault="00760470" w:rsidP="00760470">
            <w:pPr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Оценка среднего уровня   к</w:t>
            </w:r>
            <w:r w:rsidRPr="00760470">
              <w:rPr>
                <w:color w:val="000000"/>
                <w:sz w:val="28"/>
                <w:szCs w:val="28"/>
              </w:rPr>
              <w:t>а</w:t>
            </w:r>
            <w:r w:rsidRPr="00760470">
              <w:rPr>
                <w:color w:val="000000"/>
                <w:sz w:val="28"/>
                <w:szCs w:val="28"/>
              </w:rPr>
              <w:t>чества финансового менед</w:t>
            </w:r>
            <w:r w:rsidRPr="00760470">
              <w:rPr>
                <w:color w:val="000000"/>
                <w:sz w:val="28"/>
                <w:szCs w:val="28"/>
              </w:rPr>
              <w:t>ж</w:t>
            </w:r>
            <w:r w:rsidRPr="00760470">
              <w:rPr>
                <w:color w:val="000000"/>
                <w:sz w:val="28"/>
                <w:szCs w:val="28"/>
              </w:rPr>
              <w:t xml:space="preserve">мента ГРБС (MR)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>60.2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 xml:space="preserve">X      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470" w:rsidRPr="00760470" w:rsidRDefault="00760470" w:rsidP="00760470">
            <w:pPr>
              <w:jc w:val="center"/>
              <w:rPr>
                <w:color w:val="000000"/>
                <w:sz w:val="28"/>
                <w:szCs w:val="28"/>
              </w:rPr>
            </w:pPr>
            <w:r w:rsidRPr="00760470">
              <w:rPr>
                <w:color w:val="000000"/>
                <w:sz w:val="28"/>
                <w:szCs w:val="28"/>
              </w:rPr>
              <w:t xml:space="preserve">X       </w:t>
            </w:r>
          </w:p>
        </w:tc>
      </w:tr>
    </w:tbl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962976">
          <w:footerReference w:type="default" r:id="rId9"/>
          <w:type w:val="continuous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760470">
          <w:type w:val="continuous"/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качества финансового менеджмента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1. Рекомендации по повышению качества (совершенствованию) финансового менеджмента и проблемные показатели, общие для всех главных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бюджетных средств</w:t>
      </w:r>
    </w:p>
    <w:tbl>
      <w:tblPr>
        <w:tblW w:w="0" w:type="auto"/>
        <w:tblInd w:w="93" w:type="dxa"/>
        <w:tblLook w:val="04A0"/>
      </w:tblPr>
      <w:tblGrid>
        <w:gridCol w:w="1146"/>
        <w:gridCol w:w="2315"/>
        <w:gridCol w:w="1203"/>
        <w:gridCol w:w="2256"/>
        <w:gridCol w:w="2558"/>
      </w:tblGrid>
      <w:tr w:rsidR="00951CE7" w:rsidRPr="00951CE7" w:rsidTr="00951CE7">
        <w:trPr>
          <w:trHeight w:val="10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N показ</w:t>
            </w:r>
            <w:r w:rsidRPr="00951CE7">
              <w:rPr>
                <w:color w:val="000000"/>
                <w:sz w:val="20"/>
                <w:szCs w:val="20"/>
              </w:rPr>
              <w:t>а</w:t>
            </w:r>
            <w:r w:rsidRPr="00951CE7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Наименование        пр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блемного показателя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Средняя </w:t>
            </w:r>
            <w:r w:rsidRPr="00951CE7">
              <w:rPr>
                <w:color w:val="000000"/>
                <w:sz w:val="20"/>
                <w:szCs w:val="20"/>
              </w:rPr>
              <w:br/>
              <w:t>оценка по</w:t>
            </w:r>
            <w:r w:rsidRPr="00951CE7">
              <w:rPr>
                <w:color w:val="000000"/>
                <w:sz w:val="20"/>
                <w:szCs w:val="20"/>
              </w:rPr>
              <w:br/>
              <w:t>показателю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Краткий анализ  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причин, приведших </w:t>
            </w:r>
            <w:r w:rsidRPr="00951CE7">
              <w:rPr>
                <w:color w:val="000000"/>
                <w:sz w:val="20"/>
                <w:szCs w:val="20"/>
              </w:rPr>
              <w:br/>
              <w:t>к низкому значению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показателя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Рекомендации по повыш</w:t>
            </w:r>
            <w:r w:rsidRPr="00951CE7">
              <w:rPr>
                <w:color w:val="000000"/>
                <w:sz w:val="20"/>
                <w:szCs w:val="20"/>
              </w:rPr>
              <w:t>е</w:t>
            </w:r>
            <w:r w:rsidRPr="00951CE7">
              <w:rPr>
                <w:color w:val="000000"/>
                <w:sz w:val="20"/>
                <w:szCs w:val="20"/>
              </w:rPr>
              <w:t>нию качества  финансов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го менеджмента </w:t>
            </w:r>
          </w:p>
        </w:tc>
      </w:tr>
      <w:tr w:rsidR="00951CE7" w:rsidRPr="00951CE7" w:rsidTr="00951CE7">
        <w:trPr>
          <w:trHeight w:val="244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5</w:t>
            </w:r>
          </w:p>
        </w:tc>
      </w:tr>
      <w:tr w:rsidR="00951CE7" w:rsidRPr="00951CE7" w:rsidTr="00951CE7">
        <w:trPr>
          <w:cantSplit/>
          <w:trHeight w:val="3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Доля  объема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ходов бюджета в IV квартале от средн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го объема расходов за   1-III кварталы (без учета субве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 xml:space="preserve">ций и субсидий)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Достаточно низкое значение показат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ля обусловлено п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реносом ряда з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планированных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и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ходя из подтве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жденных собстве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ных доходов ра</w:t>
            </w:r>
            <w:r w:rsidRPr="00951CE7">
              <w:rPr>
                <w:color w:val="000000"/>
              </w:rPr>
              <w:t>й</w:t>
            </w:r>
            <w:r w:rsidRPr="00951CE7">
              <w:rPr>
                <w:color w:val="000000"/>
              </w:rPr>
              <w:t>онного бюджета, а также изначальным планированием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в связи с высокой вероятностью ф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нансирования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ходов в четвертом квартале.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Главным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средств при планир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вании деятельности на год необходимо по возможности план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ровать больший объем мероприятий осущ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ствляемых за счет средств  бюджета района  на второй – третий кварталы.</w:t>
            </w:r>
            <w:r w:rsidRPr="00951CE7">
              <w:rPr>
                <w:color w:val="000000"/>
              </w:rPr>
              <w:br/>
              <w:t>Также необходимо более точно подх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дить к балансировке доходов и расходов на этапе составления проекта областного бюджета, чтобы обе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печить необходимую равномерность расх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дов в течение года</w:t>
            </w:r>
          </w:p>
        </w:tc>
      </w:tr>
      <w:tr w:rsidR="00951CE7" w:rsidRPr="00951CE7" w:rsidTr="00951CE7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Количество ув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домлений о внес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нии изменений в бюджетную ро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пись расходов и лимитов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обязательств, связанных с пер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мещением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ассигнований, в ходе исполнения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Достаточно низкое значение показат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ля обусловлено п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реносом ряда з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планированных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и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ходя из подтве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жденных собстве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ных доходов обл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стного бюджета, а также изначальным планированием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в связи с высокой вероятностью ф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нансирования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lastRenderedPageBreak/>
              <w:t>ходов в четвертом квартале.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lastRenderedPageBreak/>
              <w:t>Главным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средств рассмотреть целесообразность 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менения подходов к планированию расх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дов с целью их более обоснованного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пределения в течение года</w:t>
            </w:r>
          </w:p>
        </w:tc>
      </w:tr>
      <w:tr w:rsidR="00951CE7" w:rsidRPr="00951CE7" w:rsidTr="00951CE7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lastRenderedPageBreak/>
              <w:t>Р7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 xml:space="preserve"> Оценка качества планирования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жетных   ассигн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Низкое значение оценки по данному показателю свид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тельствует о ни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ком качестве раб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ты главных расп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рядителей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средств по планированию, в</w:t>
            </w:r>
            <w:r w:rsidRPr="00951CE7">
              <w:rPr>
                <w:color w:val="000000"/>
              </w:rPr>
              <w:t>ы</w:t>
            </w:r>
            <w:r w:rsidRPr="00951CE7">
              <w:rPr>
                <w:color w:val="000000"/>
              </w:rPr>
              <w:t>разившееся в большом количес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 изменений сво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ной бюджетной росписи.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Главным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средств следует пре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ставлять в комитет финансов предлож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ния по внесению 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менений в сводную бюджетную роспись только в случае кра</w:t>
            </w:r>
            <w:r w:rsidRPr="00951CE7">
              <w:rPr>
                <w:color w:val="000000"/>
              </w:rPr>
              <w:t>й</w:t>
            </w:r>
            <w:r w:rsidRPr="00951CE7">
              <w:rPr>
                <w:color w:val="000000"/>
              </w:rPr>
              <w:t>ней необходимости и провести работу с подведомственными получателями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жетных средств о н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обходимости более тщательного планир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вания бюджетных 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сигнований.</w:t>
            </w:r>
          </w:p>
        </w:tc>
      </w:tr>
      <w:tr w:rsidR="00951CE7" w:rsidRPr="00951CE7" w:rsidTr="00951CE7">
        <w:trPr>
          <w:trHeight w:val="3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 xml:space="preserve"> Изменение деб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торской задолже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ности ГРБС и по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ведомственных ему муниципальных у</w:t>
            </w:r>
            <w:r w:rsidRPr="00951CE7">
              <w:rPr>
                <w:color w:val="000000"/>
              </w:rPr>
              <w:t>ч</w:t>
            </w:r>
            <w:r w:rsidRPr="00951CE7">
              <w:rPr>
                <w:color w:val="000000"/>
              </w:rPr>
              <w:t>реждений в отче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ном периоде по сравнению с нач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лом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Основной прич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ной существования просроченной кр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диторской задо</w:t>
            </w:r>
            <w:r w:rsidRPr="00951CE7">
              <w:rPr>
                <w:color w:val="000000"/>
              </w:rPr>
              <w:t>л</w:t>
            </w:r>
            <w:r w:rsidRPr="00951CE7">
              <w:rPr>
                <w:color w:val="000000"/>
              </w:rPr>
              <w:t>женности являю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ся:  1) недостато</w:t>
            </w:r>
            <w:r w:rsidRPr="00951CE7">
              <w:rPr>
                <w:color w:val="000000"/>
              </w:rPr>
              <w:t>ч</w:t>
            </w:r>
            <w:r w:rsidRPr="00951CE7">
              <w:rPr>
                <w:color w:val="000000"/>
              </w:rPr>
              <w:t>но активная работа с поставщиками и подрядчиками по урегулированию ранее возникшей просроченной кр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диторской задо</w:t>
            </w:r>
            <w:r w:rsidRPr="00951CE7">
              <w:rPr>
                <w:color w:val="000000"/>
              </w:rPr>
              <w:t>л</w:t>
            </w:r>
            <w:r w:rsidRPr="00951CE7">
              <w:rPr>
                <w:color w:val="000000"/>
              </w:rPr>
              <w:t>женности;  2) н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достаточное кач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ственное планир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вание расходов и поступления дох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дов в тяжелых эк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номических усл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Главным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средств, а также рук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водителям муниц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пальных учреждений необходимо активиз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ровать работу по ур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гулированию ранее возникшей кредито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ской задолженности (списанию, рестру</w:t>
            </w:r>
            <w:r w:rsidRPr="00951CE7">
              <w:rPr>
                <w:color w:val="000000"/>
              </w:rPr>
              <w:t>к</w:t>
            </w:r>
            <w:r w:rsidRPr="00951CE7">
              <w:rPr>
                <w:color w:val="000000"/>
              </w:rPr>
              <w:t>туризации, погаш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нию)</w:t>
            </w:r>
          </w:p>
        </w:tc>
      </w:tr>
      <w:tr w:rsidR="00951CE7" w:rsidRPr="00951CE7" w:rsidTr="00951CE7">
        <w:trPr>
          <w:trHeight w:val="10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Соблюдение сроков представления ГРБС годовой о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 xml:space="preserve">четности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Низкое значение оценки по данному показателю свид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тельствует о ни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ком качестве раб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ты главных расп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рядителей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lastRenderedPageBreak/>
              <w:t>ных средств по с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ставлению 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жетной  (бухга</w:t>
            </w:r>
            <w:r w:rsidRPr="00951CE7">
              <w:rPr>
                <w:color w:val="000000"/>
              </w:rPr>
              <w:t>л</w:t>
            </w:r>
            <w:r w:rsidRPr="00951CE7">
              <w:rPr>
                <w:color w:val="000000"/>
              </w:rPr>
              <w:t>терской) отчетн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lastRenderedPageBreak/>
              <w:t>Гла</w:t>
            </w:r>
            <w:r>
              <w:rPr>
                <w:color w:val="000000"/>
              </w:rPr>
              <w:t>в</w:t>
            </w:r>
            <w:r w:rsidRPr="00951CE7">
              <w:rPr>
                <w:color w:val="000000"/>
              </w:rPr>
              <w:t>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средств необходимо  соблюдать бюджетное законодательство  и  повышать качество составления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lastRenderedPageBreak/>
              <w:t>ной (бухгалтерской) отчетности</w:t>
            </w:r>
          </w:p>
        </w:tc>
      </w:tr>
      <w:tr w:rsidR="00951CE7" w:rsidRPr="00951CE7" w:rsidTr="00951CE7">
        <w:trPr>
          <w:trHeight w:val="2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lastRenderedPageBreak/>
              <w:t>Р14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Соответствие пр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доставленной в к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митет финансов бюджетной отче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ности установле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Низкое значение оценки по данному показателю свид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тельствует о ни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ком качестве о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четной дисципл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ны главных расп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рядителей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средств  по с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ставлению 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жетной (бухгалте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ской отчетности)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Гла</w:t>
            </w:r>
            <w:r>
              <w:rPr>
                <w:color w:val="000000"/>
              </w:rPr>
              <w:t>в</w:t>
            </w:r>
            <w:r w:rsidRPr="00951CE7">
              <w:rPr>
                <w:color w:val="000000"/>
              </w:rPr>
              <w:t>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средств необходимо  соблюдать бюджетное законодательство  и  повышать качество составления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ной (бухгалтерской) отчетности. Строго соблюдать требования  Приказа Минфина России от 28.12.2010 N 191н "Об утвержд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нии Инструкции о п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рядке составления и представления год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вой, квартальной и месячной отчетности об исполнении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жетов бюджетной системы Российской Федерации" и Приказа Минфина России от 25.03.2011 N 33н "Об утверждении Инс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рукции о порядке с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ставления, предста</w:t>
            </w:r>
            <w:r w:rsidRPr="00951CE7">
              <w:rPr>
                <w:color w:val="000000"/>
              </w:rPr>
              <w:t>в</w:t>
            </w:r>
            <w:r w:rsidRPr="00951CE7">
              <w:rPr>
                <w:color w:val="000000"/>
              </w:rPr>
              <w:t>ления годовой, ква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тальной бухгалте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ской отчетности гос</w:t>
            </w:r>
            <w:r w:rsidRPr="00951CE7">
              <w:rPr>
                <w:color w:val="000000"/>
              </w:rPr>
              <w:t>у</w:t>
            </w:r>
            <w:r w:rsidRPr="00951CE7">
              <w:rPr>
                <w:color w:val="000000"/>
              </w:rPr>
              <w:t>дарственных (мун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ципальных)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и автономных у</w:t>
            </w:r>
            <w:r w:rsidRPr="00951CE7">
              <w:rPr>
                <w:color w:val="000000"/>
              </w:rPr>
              <w:t>ч</w:t>
            </w:r>
            <w:r w:rsidRPr="00951CE7">
              <w:rPr>
                <w:color w:val="000000"/>
              </w:rPr>
              <w:t>реждений"</w:t>
            </w:r>
          </w:p>
        </w:tc>
      </w:tr>
    </w:tbl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B0A46" w:rsidRDefault="00AB0A46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Рекомендации по повышению качества (совершенствованию)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 менеджмента главных распорядителей бюджетных средств, получи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по отдельным показателям низкую оценку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</w:t>
      </w:r>
    </w:p>
    <w:p w:rsidR="00AB0A46" w:rsidRDefault="00AB0A46" w:rsidP="00AB0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700"/>
        <w:gridCol w:w="871"/>
        <w:gridCol w:w="2565"/>
        <w:gridCol w:w="2680"/>
      </w:tblGrid>
      <w:tr w:rsidR="00AB0A46" w:rsidRPr="00AB0A46" w:rsidTr="00330297">
        <w:trPr>
          <w:cantSplit/>
          <w:trHeight w:val="879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N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Уровень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качества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финанс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вого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мента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ГРБС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Краткий анализ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причин, приведших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 низкому уровню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оценки финансового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Рекомендации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 повышению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качества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финансового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</w:p>
        </w:tc>
      </w:tr>
      <w:tr w:rsidR="00AB0A46" w:rsidRPr="00AB0A46" w:rsidTr="00330297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1E28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0A46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1E28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0A46">
              <w:rPr>
                <w:rFonts w:ascii="Times New Roman" w:hAnsi="Times New Roman" w:cs="Times New Roman"/>
                <w:lang w:eastAsia="en-US"/>
              </w:rPr>
              <w:t xml:space="preserve">2          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1E28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0A46">
              <w:rPr>
                <w:rFonts w:ascii="Times New Roman" w:hAnsi="Times New Roman" w:cs="Times New Roman"/>
                <w:lang w:eastAsia="en-US"/>
              </w:rPr>
              <w:t xml:space="preserve">3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1E28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0A46">
              <w:rPr>
                <w:rFonts w:ascii="Times New Roman" w:hAnsi="Times New Roman" w:cs="Times New Roman"/>
                <w:lang w:eastAsia="en-US"/>
              </w:rPr>
              <w:t xml:space="preserve">4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1E28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0A46">
              <w:rPr>
                <w:rFonts w:ascii="Times New Roman" w:hAnsi="Times New Roman" w:cs="Times New Roman"/>
                <w:lang w:eastAsia="en-US"/>
              </w:rPr>
              <w:t xml:space="preserve">5     </w:t>
            </w:r>
          </w:p>
        </w:tc>
      </w:tr>
      <w:tr w:rsidR="00AB0A46" w:rsidRP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социальной з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щиты населения админ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страции Волосовского м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ниципального района Л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нинградской области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оценки кач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ства финансового м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неджмента произошло из-за следующих показ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телей:</w:t>
            </w:r>
          </w:p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 доля объема расходов бюджета в IV квартале от среднего объема расх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 за I-III кварталы (без учета субвенций и су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285D" w:rsidRP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E285D">
              <w:rPr>
                <w:rFonts w:ascii="Times New Roman" w:hAnsi="Times New Roman" w:cs="Times New Roman"/>
                <w:sz w:val="22"/>
                <w:szCs w:val="22"/>
              </w:rPr>
              <w:t>ассмотреть целесообра</w:t>
            </w:r>
            <w:r w:rsidRPr="001E285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E285D">
              <w:rPr>
                <w:rFonts w:ascii="Times New Roman" w:hAnsi="Times New Roman" w:cs="Times New Roman"/>
                <w:sz w:val="22"/>
                <w:szCs w:val="22"/>
              </w:rPr>
              <w:t>ность изменения подходов к планированию расходов с целью их более равн</w:t>
            </w:r>
            <w:r w:rsidRPr="001E28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285D">
              <w:rPr>
                <w:rFonts w:ascii="Times New Roman" w:hAnsi="Times New Roman" w:cs="Times New Roman"/>
                <w:sz w:val="22"/>
                <w:szCs w:val="22"/>
              </w:rPr>
              <w:t>мерного распределения в течение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AB0A46" w:rsidRP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- количество уведомл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ний о внесении измен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ний в бюджетную  ро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пись расходов и лимитов бюджетных обяз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ельств, связанных с п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ремещением бюджетных ассигнований, в ходе и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1E285D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6B7C77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братить внимание на к</w:t>
            </w:r>
            <w:r w:rsidR="006B7C77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6B7C77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чество планирования ра</w:t>
            </w:r>
            <w:r w:rsidR="006B7C77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6B7C77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ходов и расчета соотве</w:t>
            </w:r>
            <w:r w:rsidR="006B7C77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6B7C77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ствующих расходных об</w:t>
            </w:r>
            <w:r w:rsidR="006B7C77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="006B7C77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зательств с целью полн</w:t>
            </w:r>
            <w:r w:rsidR="006B7C77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6B7C77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 использования бю</w:t>
            </w:r>
            <w:r w:rsidR="006B7C77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6B7C77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жетных ассигнований, при выявлении возможных случаев неиспользования </w:t>
            </w:r>
            <w:r w:rsidR="001E285D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бюджетных ассигнований</w:t>
            </w:r>
            <w:r w:rsidR="006B7C77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вносить изменения в бюджетную роспись и р</w:t>
            </w:r>
            <w:r w:rsidR="006B7C77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6B7C77"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шение о бюджете</w:t>
            </w:r>
            <w:r w:rsid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</w:tr>
      <w:tr w:rsidR="00AB0A46" w:rsidRPr="00144CF3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144CF3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144CF3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144CF3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144CF3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C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-объем неисполненных бюджетных ассигнов</w:t>
            </w:r>
            <w:r w:rsidRPr="00144C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144C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ний на конец отчетного финансового года;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F3" w:rsidRPr="00144CF3" w:rsidRDefault="00144CF3" w:rsidP="00951CE7">
            <w:pPr>
              <w:jc w:val="both"/>
            </w:pPr>
            <w:r w:rsidRPr="00144CF3">
              <w:rPr>
                <w:sz w:val="22"/>
                <w:szCs w:val="22"/>
              </w:rPr>
              <w:t>необходимо провести р</w:t>
            </w:r>
            <w:r w:rsidRPr="00144CF3">
              <w:rPr>
                <w:sz w:val="22"/>
                <w:szCs w:val="22"/>
              </w:rPr>
              <w:t>а</w:t>
            </w:r>
            <w:r w:rsidRPr="00144CF3">
              <w:rPr>
                <w:sz w:val="22"/>
                <w:szCs w:val="22"/>
              </w:rPr>
              <w:t xml:space="preserve">боту по повышению </w:t>
            </w:r>
          </w:p>
          <w:p w:rsidR="00144CF3" w:rsidRPr="00144CF3" w:rsidRDefault="00144CF3" w:rsidP="00951CE7">
            <w:pPr>
              <w:jc w:val="both"/>
            </w:pPr>
            <w:r w:rsidRPr="00144CF3">
              <w:rPr>
                <w:sz w:val="22"/>
                <w:szCs w:val="22"/>
              </w:rPr>
              <w:t>эффективности расход</w:t>
            </w:r>
            <w:r w:rsidRPr="00144CF3">
              <w:rPr>
                <w:sz w:val="22"/>
                <w:szCs w:val="22"/>
              </w:rPr>
              <w:t>о</w:t>
            </w:r>
            <w:r w:rsidRPr="00144CF3">
              <w:rPr>
                <w:sz w:val="22"/>
                <w:szCs w:val="22"/>
              </w:rPr>
              <w:t>вания бюджетных средств за счет</w:t>
            </w:r>
            <w:r>
              <w:rPr>
                <w:sz w:val="22"/>
                <w:szCs w:val="22"/>
              </w:rPr>
              <w:t xml:space="preserve"> </w:t>
            </w:r>
            <w:r w:rsidRPr="00144CF3">
              <w:rPr>
                <w:sz w:val="22"/>
                <w:szCs w:val="22"/>
              </w:rPr>
              <w:t>исключения низк</w:t>
            </w:r>
            <w:r w:rsidRPr="00144CF3">
              <w:rPr>
                <w:sz w:val="22"/>
                <w:szCs w:val="22"/>
              </w:rPr>
              <w:t>о</w:t>
            </w:r>
            <w:r w:rsidRPr="00144CF3">
              <w:rPr>
                <w:sz w:val="22"/>
                <w:szCs w:val="22"/>
              </w:rPr>
              <w:t>эффективных расходов;</w:t>
            </w:r>
          </w:p>
          <w:p w:rsidR="00AB0A46" w:rsidRPr="00144CF3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B0A46" w:rsidRP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соответствие предо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тавленной в комитет ф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нансов бюджетной о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четности установленным требованиям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8D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 составлении бюдже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 отчетности  собл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дать  требования 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Приказ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Минфина России от 28.12.2010 N 191н "Об у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дерации" и Приказа Ми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 России от 25.03.2011 N 33н "Об утверждении Инструкции о порядке составления, представл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годовой, квартальной бухгалтерской отчетности государственных (мун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ципальных) бюджетных и автономных учреждений"</w:t>
            </w:r>
          </w:p>
          <w:p w:rsidR="00AB0A46" w:rsidRPr="00AB0A46" w:rsidRDefault="0017078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Для исключения  ошибок тщательно изучать норм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тивно правовые акты 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нистерства финансов РФ по вопросам  ведения бюджетного и бухгалте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ского учета и формиров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бюджетной и бухга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терской отчетности.</w:t>
            </w:r>
          </w:p>
        </w:tc>
      </w:tr>
      <w:tr w:rsidR="00AB0A46" w:rsidRP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финансов адм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нистрации Волосовского муниципального района Ленинградской области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оценки кач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ства финансового м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неджмента произошло из-за следующих показ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телей:</w:t>
            </w:r>
          </w:p>
          <w:p w:rsidR="00AB0A46" w:rsidRPr="00AB0A46" w:rsidRDefault="00356ECE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</w:t>
            </w:r>
            <w:r w:rsidRPr="00356E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ровень исполнения расходов ГРБС за счет средств местного  бю</w:t>
            </w:r>
            <w:r w:rsidRPr="00356E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356E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жета  (без учета субве</w:t>
            </w:r>
            <w:r w:rsidRPr="00356E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356E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ций и  субсидий)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97" w:rsidRDefault="00330297" w:rsidP="00951CE7">
            <w:pPr>
              <w:jc w:val="both"/>
            </w:pPr>
          </w:p>
          <w:p w:rsidR="00330297" w:rsidRDefault="00330297" w:rsidP="00951CE7">
            <w:pPr>
              <w:jc w:val="both"/>
            </w:pPr>
          </w:p>
          <w:p w:rsidR="00AB0A46" w:rsidRPr="00AB0A46" w:rsidRDefault="00330297" w:rsidP="00951CE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330297">
              <w:rPr>
                <w:sz w:val="22"/>
                <w:szCs w:val="22"/>
              </w:rPr>
              <w:t>ассмотреть целесообра</w:t>
            </w:r>
            <w:r w:rsidRPr="00330297">
              <w:rPr>
                <w:sz w:val="22"/>
                <w:szCs w:val="22"/>
              </w:rPr>
              <w:t>з</w:t>
            </w:r>
            <w:r w:rsidRPr="00330297">
              <w:rPr>
                <w:sz w:val="22"/>
                <w:szCs w:val="22"/>
              </w:rPr>
              <w:t>ность изменения подходов к планированию расходов</w:t>
            </w:r>
            <w:r>
              <w:rPr>
                <w:sz w:val="22"/>
                <w:szCs w:val="22"/>
              </w:rPr>
              <w:t xml:space="preserve"> на очередной финансовый год,  в течение года 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водить  </w:t>
            </w:r>
            <w:r w:rsidRPr="00144CF3">
              <w:rPr>
                <w:sz w:val="22"/>
                <w:szCs w:val="22"/>
              </w:rPr>
              <w:t>работу по пов</w:t>
            </w:r>
            <w:r w:rsidRPr="00144CF3">
              <w:rPr>
                <w:sz w:val="22"/>
                <w:szCs w:val="22"/>
              </w:rPr>
              <w:t>ы</w:t>
            </w:r>
            <w:r w:rsidRPr="00144CF3">
              <w:rPr>
                <w:sz w:val="22"/>
                <w:szCs w:val="22"/>
              </w:rPr>
              <w:t>шению эффективности расходования бюджетных средств;</w:t>
            </w:r>
          </w:p>
        </w:tc>
      </w:tr>
      <w:tr w:rsid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356ECE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количество уведомл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ний о внесении измен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ний в бюджетную  ро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пись расходов и лимитов бюджетных обяз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тельств, связанных с п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ремещением бюджетных ассигнований, в ходе и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братить внимание на к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чество планирования ра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ходов и расчета соотве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ствующих расходных об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зательств с целью полн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 использования бю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жетных ассигнований, при выявлении возможных случаев неиспользования бюджетных ассигнований - вносить изменения в бюджетную роспись и р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шение о бюджете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</w:tr>
      <w:tr w:rsid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356ECE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-объем неисполненных бюджетных </w:t>
            </w:r>
            <w:r w:rsid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ссигнов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ний на конец отчетного финансового года;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F3" w:rsidRPr="00144CF3" w:rsidRDefault="00144CF3" w:rsidP="00951CE7">
            <w:pPr>
              <w:jc w:val="both"/>
            </w:pPr>
            <w:r w:rsidRPr="00144CF3">
              <w:rPr>
                <w:sz w:val="22"/>
                <w:szCs w:val="22"/>
              </w:rPr>
              <w:t>необходимо провести р</w:t>
            </w:r>
            <w:r w:rsidRPr="00144CF3">
              <w:rPr>
                <w:sz w:val="22"/>
                <w:szCs w:val="22"/>
              </w:rPr>
              <w:t>а</w:t>
            </w:r>
            <w:r w:rsidRPr="00144CF3">
              <w:rPr>
                <w:sz w:val="22"/>
                <w:szCs w:val="22"/>
              </w:rPr>
              <w:t xml:space="preserve">боту по повышению </w:t>
            </w:r>
          </w:p>
          <w:p w:rsidR="00AB0A46" w:rsidRDefault="00144CF3" w:rsidP="00951CE7">
            <w:pPr>
              <w:jc w:val="both"/>
              <w:rPr>
                <w:sz w:val="28"/>
                <w:szCs w:val="28"/>
                <w:lang w:eastAsia="en-US"/>
              </w:rPr>
            </w:pPr>
            <w:r w:rsidRPr="00144CF3">
              <w:rPr>
                <w:sz w:val="22"/>
                <w:szCs w:val="22"/>
              </w:rPr>
              <w:t>эффективности расход</w:t>
            </w:r>
            <w:r w:rsidRPr="00144CF3">
              <w:rPr>
                <w:sz w:val="22"/>
                <w:szCs w:val="22"/>
              </w:rPr>
              <w:t>о</w:t>
            </w:r>
            <w:r w:rsidRPr="00144CF3">
              <w:rPr>
                <w:sz w:val="22"/>
                <w:szCs w:val="22"/>
              </w:rPr>
              <w:t>вания бюджетных средств за счет</w:t>
            </w:r>
            <w:r>
              <w:rPr>
                <w:sz w:val="22"/>
                <w:szCs w:val="22"/>
              </w:rPr>
              <w:t xml:space="preserve"> </w:t>
            </w:r>
            <w:r w:rsidRPr="00144CF3">
              <w:rPr>
                <w:sz w:val="22"/>
                <w:szCs w:val="22"/>
              </w:rPr>
              <w:t>исключения низк</w:t>
            </w:r>
            <w:r w:rsidRPr="00144CF3">
              <w:rPr>
                <w:sz w:val="22"/>
                <w:szCs w:val="22"/>
              </w:rPr>
              <w:t>о</w:t>
            </w:r>
            <w:r w:rsidRPr="00144CF3">
              <w:rPr>
                <w:sz w:val="22"/>
                <w:szCs w:val="22"/>
              </w:rPr>
              <w:t>эффективных расходов;</w:t>
            </w:r>
          </w:p>
        </w:tc>
      </w:tr>
      <w:tr w:rsidR="00FE3657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57" w:rsidRDefault="00FE365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57" w:rsidRPr="00AB0A46" w:rsidRDefault="00FE365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57" w:rsidRDefault="00FE365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57" w:rsidRPr="00AB0A46" w:rsidRDefault="00FE365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ценка качества план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рования бюджетных    ассигнований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57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рассмотреть целесообра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ность изменения подходов к планированию расходов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очередной финансовый год;</w:t>
            </w:r>
          </w:p>
        </w:tc>
      </w:tr>
      <w:tr w:rsidR="00AB0A46" w:rsidRPr="00FE3657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FE3657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FE3657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FE3657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FE3657" w:rsidRDefault="00FE365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</w:t>
            </w:r>
            <w:r w:rsidRPr="00FE3657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оответствие предо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тавленной в комитет ф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нансов бюджетной 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четности установленным требованиям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8D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 составлении бюдже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 отчетности  собл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дать  требования 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Приказ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Минфина России от 28.12.2010 N 191н "Об у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="0017078D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дерации" </w:t>
            </w:r>
          </w:p>
          <w:p w:rsidR="00AB0A46" w:rsidRPr="00FE3657" w:rsidRDefault="0017078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Для исключения  ошибок тщательно изучать норм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тивно правовые акты 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нистерства финансов РФ по вопросам  ведения бюджетного и бухгалте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ского учета и формиров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бюджетной и бухга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терской отчетности.</w:t>
            </w:r>
          </w:p>
        </w:tc>
      </w:tr>
      <w:tr w:rsidR="00AB0A46" w:rsidRP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управлению муниципальным имущес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вом администрации мун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ципального образования Волосовский муниципал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ный район Ленинградской области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71,8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FE365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оценки кач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ства финансового м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неджмента произошло из-за следующих показ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>
              <w:t xml:space="preserve">                                 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оля бюджетных асси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нований, запланирова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ных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ниципальных 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программ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44CF3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44CF3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44CF3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44CF3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44CF3" w:rsidRPr="00AB0A46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Разработать и  утвердить изменения в  муниципал</w:t>
            </w:r>
            <w:r w:rsidRPr="00144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44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ные программы, при  н</w:t>
            </w:r>
            <w:r w:rsidRPr="00144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44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делении ГРБС дополн</w:t>
            </w:r>
            <w:r w:rsidRPr="00144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44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тельными расходными обязательствами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44C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бяз</w:t>
            </w:r>
            <w:r w:rsidRPr="00144C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144C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тельно  увязывать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</w:t>
            </w:r>
            <w:r w:rsidRPr="00144C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</w:t>
            </w:r>
            <w:r w:rsidRPr="00144C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144C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граммными мероприяти</w:t>
            </w:r>
            <w:r w:rsidRPr="00144C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144C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</w:t>
            </w:r>
          </w:p>
        </w:tc>
      </w:tr>
      <w:tr w:rsid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FE365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количество уведомл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ний о внесении измен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ний в бюджетную  ро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пись расходов и лимитов бюджетных обяз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тельств, связанных с п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ремещением бюджетных ассигнований, в ходе и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Обратить внимание на к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чество планирования ра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ходов и расчета соотве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ствующих расходных об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зательств с целью полн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 использования бю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жетных ассигнований, при выявлении возможных случаев неиспользования бюджетных ассигнований - вносить изменения в бюджетную роспись и р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шение о бюджете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</w:tr>
      <w:tr w:rsid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FE365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ценка качества план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рования бюджетных    ассигнований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рассмотреть целесообра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ность изменения подходов к планированию расходов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очередной финансовый год;</w:t>
            </w:r>
          </w:p>
        </w:tc>
      </w:tr>
      <w:tr w:rsidR="00AB0A46" w:rsidRPr="00330297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330297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330297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330297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330297" w:rsidRDefault="00FE365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2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изменение дебиторской задолженности ГРБС и подведомственных ему муниципальных учре</w:t>
            </w:r>
            <w:r w:rsidRPr="003302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 w:rsidRPr="003302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дений в отчетном пери</w:t>
            </w:r>
            <w:r w:rsidRPr="003302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3302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 по сравнению с нач</w:t>
            </w:r>
            <w:r w:rsidRPr="003302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3302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лом года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330297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принять все необходимые меры к недопущению о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кредиторской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дебиторской 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задолженн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ей;</w:t>
            </w:r>
          </w:p>
        </w:tc>
      </w:tr>
      <w:tr w:rsid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2706E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FE3657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оответствие предо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тавленной в комитет ф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нансов бюджетной 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четности установленным требованиям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6E" w:rsidRDefault="00A2706E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составлении бюдже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 отчетности  собл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дать  требования 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Приказ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Минфина России от 28.12.2010 N 191н "Об у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дерации" </w:t>
            </w:r>
          </w:p>
          <w:p w:rsidR="00AB0A46" w:rsidRDefault="00A2706E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Для исключения  ошибок тщательно изучать норм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тивно правовые акты 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нистерства финансов РФ по вопросам  ведения бюджетного и бухгалте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ского учета и формиров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бюджетной и бухга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терской отчетности.</w:t>
            </w:r>
          </w:p>
        </w:tc>
      </w:tr>
      <w:tr w:rsidR="00AB0A46" w:rsidRP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образования а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министрации Волосовск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 муниципального района Ленинградской области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57" w:rsidRPr="00AB0A46" w:rsidRDefault="00FE3657" w:rsidP="00951CE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оценки кач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ства финансового м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неджмента произошло из-за следующих показ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телей:</w:t>
            </w:r>
          </w:p>
          <w:p w:rsidR="00AB0A46" w:rsidRPr="00AB0A46" w:rsidRDefault="00FE365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 доля объема расходов бюджета в IV квартале от среднего объема расх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 за I-III кварталы (без учета субвенций и су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F3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4CF3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4CF3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4CF3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4CF3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A46" w:rsidRPr="00AB0A46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E285D">
              <w:rPr>
                <w:rFonts w:ascii="Times New Roman" w:hAnsi="Times New Roman" w:cs="Times New Roman"/>
                <w:sz w:val="22"/>
                <w:szCs w:val="22"/>
              </w:rPr>
              <w:t>ассмотреть целесообра</w:t>
            </w:r>
            <w:r w:rsidRPr="001E285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E285D">
              <w:rPr>
                <w:rFonts w:ascii="Times New Roman" w:hAnsi="Times New Roman" w:cs="Times New Roman"/>
                <w:sz w:val="22"/>
                <w:szCs w:val="22"/>
              </w:rPr>
              <w:t>ность изменения подходов к планированию расходов с целью их более равн</w:t>
            </w:r>
            <w:r w:rsidRPr="001E28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285D">
              <w:rPr>
                <w:rFonts w:ascii="Times New Roman" w:hAnsi="Times New Roman" w:cs="Times New Roman"/>
                <w:sz w:val="22"/>
                <w:szCs w:val="22"/>
              </w:rPr>
              <w:t>мерного распределения в течение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FE365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количество уведомл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ний о внесении измен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ний в бюджетную  ро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пись расходов и лимитов бюджетных обяз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тельств, связанных с п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ремещением бюджетных ассигнований, в ходе и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Обратить внимание на к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чество планирования ра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ходов и расчета соотве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ствующих расходных об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зательств с целью полн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 использования бю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жетных ассигнований, при выявлении возможных случаев неиспользования бюджетных ассигнований - вносить изменения в бюджетную роспись и р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шение о бюджете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</w:tr>
      <w:tr w:rsid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FE365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зменение дебиторской задолженности ГРБС и подведомственных ему муниципальных учре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дений в отчетном пери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 по сравнению с нач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лом года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принять все необходимые меры к недопущению о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кредиторской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дебиторской 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задолженн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ей;</w:t>
            </w:r>
          </w:p>
        </w:tc>
      </w:tr>
      <w:tr w:rsidR="00AB0A46" w:rsidRPr="00FE3657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FE3657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FE3657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FE3657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FE3657" w:rsidRDefault="00FE365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облюдение сроков представления ГРБС г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довой  бюджетной 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четности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FE3657" w:rsidRDefault="00A36B9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необходимо  соблюдать бюджетное законодател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ство  и  повышать качес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 составления бюдже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 (бухгалтерской) о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четности</w:t>
            </w:r>
          </w:p>
        </w:tc>
      </w:tr>
      <w:tr w:rsidR="00AB0A46" w:rsidRPr="00A36B93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36B93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36B93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36B93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36B93" w:rsidRDefault="00FE365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A36B93">
              <w:rPr>
                <w:sz w:val="22"/>
                <w:szCs w:val="22"/>
              </w:rPr>
              <w:t xml:space="preserve"> 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соответствие предо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тавленной в комитет ф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нансов бюджетной о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четности установленным требованиям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 составлении бюдже</w:t>
            </w:r>
            <w:r w:rsid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 отчетности  собл</w:t>
            </w:r>
            <w:r w:rsid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 w:rsid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дать  требования </w:t>
            </w:r>
            <w:r w:rsidR="00A36B93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Приказ</w:t>
            </w:r>
            <w:r w:rsid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="00A36B93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Минфина России от 28.12.2010 N 191н "Об у</w:t>
            </w:r>
            <w:r w:rsidR="00A36B93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="00A36B93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</w:t>
            </w:r>
            <w:r w:rsidR="00A36B93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="00A36B93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дерации" и Приказа Ми</w:t>
            </w:r>
            <w:r w:rsidR="00A36B93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="00A36B93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 России от 25.03.2011 N 33н "Об утверждении Инструкции о порядке составления, представл</w:t>
            </w:r>
            <w:r w:rsidR="00A36B93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="00A36B93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годовой, квартальной бухгалтерской отчетности государственных (мун</w:t>
            </w:r>
            <w:r w:rsidR="00A36B93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A36B93"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ципальных) бюджетных и автономных учреждений"</w:t>
            </w:r>
          </w:p>
          <w:p w:rsidR="00A36B93" w:rsidRPr="00A36B93" w:rsidRDefault="00A36B9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Для исключения  ошибок тщательно изучать норм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тивно правовые акты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нистерства финансов РФ по вопросам  ведения бюджетного и бухгалте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ского учета и формиров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бюджетной и бухга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="001707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терской отчетности.</w:t>
            </w:r>
          </w:p>
        </w:tc>
      </w:tr>
      <w:tr w:rsidR="00AB0A46" w:rsidRPr="00FE3657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FE3657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A46" w:rsidRDefault="00AB0A46" w:rsidP="00951CE7">
            <w:pPr>
              <w:jc w:val="both"/>
              <w:rPr>
                <w:color w:val="000000"/>
              </w:rPr>
            </w:pPr>
            <w:r w:rsidRPr="00FE3657">
              <w:rPr>
                <w:color w:val="000000"/>
                <w:sz w:val="22"/>
                <w:szCs w:val="22"/>
              </w:rPr>
              <w:t>Комитет по городскому хозяйству администрации муниципального образ</w:t>
            </w:r>
            <w:r w:rsidRPr="00FE3657">
              <w:rPr>
                <w:color w:val="000000"/>
                <w:sz w:val="22"/>
                <w:szCs w:val="22"/>
              </w:rPr>
              <w:t>о</w:t>
            </w:r>
            <w:r w:rsidRPr="00FE3657">
              <w:rPr>
                <w:color w:val="000000"/>
                <w:sz w:val="22"/>
                <w:szCs w:val="22"/>
              </w:rPr>
              <w:t>вания Волосовский мун</w:t>
            </w:r>
            <w:r w:rsidRPr="00FE3657">
              <w:rPr>
                <w:color w:val="000000"/>
                <w:sz w:val="22"/>
                <w:szCs w:val="22"/>
              </w:rPr>
              <w:t>и</w:t>
            </w:r>
            <w:r w:rsidRPr="00FE3657">
              <w:rPr>
                <w:color w:val="000000"/>
                <w:sz w:val="22"/>
                <w:szCs w:val="22"/>
              </w:rPr>
              <w:t>ципальный район Лени</w:t>
            </w:r>
            <w:r w:rsidRPr="00FE3657">
              <w:rPr>
                <w:color w:val="000000"/>
                <w:sz w:val="22"/>
                <w:szCs w:val="22"/>
              </w:rPr>
              <w:t>н</w:t>
            </w:r>
            <w:r w:rsidRPr="00FE3657">
              <w:rPr>
                <w:color w:val="000000"/>
                <w:sz w:val="22"/>
                <w:szCs w:val="22"/>
              </w:rPr>
              <w:t>градской области</w:t>
            </w:r>
          </w:p>
          <w:p w:rsidR="00FE3657" w:rsidRDefault="00FE3657" w:rsidP="00951CE7">
            <w:pPr>
              <w:jc w:val="both"/>
              <w:rPr>
                <w:color w:val="000000"/>
              </w:rPr>
            </w:pPr>
          </w:p>
          <w:p w:rsidR="00FE3657" w:rsidRDefault="00FE3657" w:rsidP="00951CE7">
            <w:pPr>
              <w:jc w:val="both"/>
              <w:rPr>
                <w:color w:val="000000"/>
              </w:rPr>
            </w:pPr>
          </w:p>
          <w:p w:rsidR="00FE3657" w:rsidRDefault="00FE3657" w:rsidP="00951CE7">
            <w:pPr>
              <w:jc w:val="both"/>
              <w:rPr>
                <w:color w:val="000000"/>
              </w:rPr>
            </w:pPr>
          </w:p>
          <w:p w:rsidR="00FE3657" w:rsidRPr="00FE3657" w:rsidRDefault="00FE3657" w:rsidP="00951CE7">
            <w:pPr>
              <w:jc w:val="both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FE3657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57" w:rsidRPr="00FE3657" w:rsidRDefault="00FE3657" w:rsidP="00951CE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оценки кач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ства финансового м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неджмента произошло из-за следующих показ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телей:</w:t>
            </w:r>
          </w:p>
          <w:p w:rsidR="00AB0A46" w:rsidRPr="00FE3657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</w:t>
            </w:r>
            <w:r w:rsidR="00FE3657"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воевременность пре</w:t>
            </w:r>
            <w:r w:rsidR="00FE3657"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="00FE3657"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ставления реестра ра</w:t>
            </w:r>
            <w:r w:rsidR="00FE3657"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="00FE3657"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ходных  обязательств ГРБС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97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30297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30297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30297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30297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0A46" w:rsidRPr="00330297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2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допускать нарушения сроков сдачи 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реестра ра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ходных  обязательств</w:t>
            </w:r>
          </w:p>
        </w:tc>
      </w:tr>
      <w:tr w:rsidR="001E285D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85D" w:rsidRDefault="001E285D" w:rsidP="00951CE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Pr="00AB0A46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- количество уведомл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ний о внесении измен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ний в бюджетную  ро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пись расходов и лимитов бюджетных обяз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ельств, связанных с п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ремещением бюджетных ассигнований, в ходе и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Обратить внимание на к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чество планирования ра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ходов и расчета соотве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ствующих расходных об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зательств с целью полн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 использования бю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жетных ассигнований, при выявлении возможных случаев неиспользования бюджетных ассигнований - вносить изменения в бюджетную роспись и р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шение о бюджете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</w:tr>
      <w:tr w:rsid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зменение дебиторской задолженности ГРБС и подведомственных ему муниципальных учре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дений в отчетном пери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 по сравнению с нач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лом года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принять все необходимые меры к недопущению о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кредиторской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дебиторской 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задолженн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ей;</w:t>
            </w:r>
          </w:p>
        </w:tc>
      </w:tr>
      <w:tr w:rsid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облюдение сроков представления ГРБС г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довой  бюджетной 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четности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2706E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необходимо  соблюдать бюджетное законодател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ство  и  повышать качес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 составления бюдже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 (бухгалтерской) о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четности</w:t>
            </w:r>
          </w:p>
        </w:tc>
      </w:tr>
      <w:tr w:rsid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FE365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FE3657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оответствие предо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тавленной в комитет ф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нансов бюджетной 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четности установленным требованиям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6E" w:rsidRDefault="00A2706E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составлении бюдже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 отчетности  собл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дать  требования 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Приказ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Минфина России от 28.12.2010 N 191н "Об у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дерации" </w:t>
            </w:r>
          </w:p>
          <w:p w:rsidR="00AB0A46" w:rsidRDefault="00A2706E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Для исключения  ошибок тщательно изучать норм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тивно правовые акты 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нистерства финансов РФ по вопросам  ведения бюджетного и бухгалте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ского учета и формиров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бюджетной и бухга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терской отчетности.</w:t>
            </w:r>
          </w:p>
        </w:tc>
      </w:tr>
      <w:tr w:rsid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P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Администрация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лосовский муниципальный район Ленинградской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57" w:rsidRPr="00AB0A46" w:rsidRDefault="00FE3657" w:rsidP="00951CE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оценки кач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ства финансового м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неджмента произошло из-за следующих показ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телей:</w:t>
            </w:r>
          </w:p>
          <w:p w:rsidR="00AB0A46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28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уровень исполнения расходов ГРБС за счет средств местного  бю</w:t>
            </w:r>
            <w:r w:rsidRPr="001E28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1E28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жета  (без учета субве</w:t>
            </w:r>
            <w:r w:rsidRPr="001E28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1E28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ций и  субсидий)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97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  <w:p w:rsidR="00AB0A46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2976">
              <w:rPr>
                <w:rFonts w:ascii="Times New Roman" w:hAnsi="Times New Roman" w:cs="Times New Roman"/>
                <w:sz w:val="22"/>
                <w:szCs w:val="22"/>
              </w:rPr>
              <w:t>Рассмотреть целесообра</w:t>
            </w:r>
            <w:r w:rsidRPr="0096297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62976">
              <w:rPr>
                <w:rFonts w:ascii="Times New Roman" w:hAnsi="Times New Roman" w:cs="Times New Roman"/>
                <w:sz w:val="22"/>
                <w:szCs w:val="22"/>
              </w:rPr>
              <w:t>ность изменения подходов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 xml:space="preserve"> к планированию расходов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2976">
              <w:rPr>
                <w:rFonts w:ascii="Times New Roman" w:hAnsi="Times New Roman" w:cs="Times New Roman"/>
                <w:sz w:val="22"/>
                <w:szCs w:val="22"/>
              </w:rPr>
              <w:t>на очередной финансовый год,  в течение года  пр</w:t>
            </w:r>
            <w:r w:rsidRPr="0096297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62976">
              <w:rPr>
                <w:rFonts w:ascii="Times New Roman" w:hAnsi="Times New Roman" w:cs="Times New Roman"/>
                <w:sz w:val="22"/>
                <w:szCs w:val="22"/>
              </w:rPr>
              <w:t>водить  работу по</w:t>
            </w:r>
            <w:r w:rsidRPr="00144CF3">
              <w:rPr>
                <w:rFonts w:ascii="Times New Roman" w:hAnsi="Times New Roman" w:cs="Times New Roman"/>
                <w:sz w:val="22"/>
                <w:szCs w:val="22"/>
              </w:rPr>
              <w:t xml:space="preserve"> пов</w:t>
            </w:r>
            <w:r w:rsidRPr="00144CF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44CF3">
              <w:rPr>
                <w:rFonts w:ascii="Times New Roman" w:hAnsi="Times New Roman" w:cs="Times New Roman"/>
                <w:sz w:val="22"/>
                <w:szCs w:val="22"/>
              </w:rPr>
              <w:t>шению эффективности расходования бюджетных средств;</w:t>
            </w:r>
          </w:p>
        </w:tc>
      </w:tr>
      <w:tr w:rsidR="00144CF3" w:rsidRPr="001E285D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F3" w:rsidRPr="001E285D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F3" w:rsidRPr="001E285D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F3" w:rsidRPr="001E285D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F3" w:rsidRPr="001E285D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 доля объема расходов бюджета в IV квартале от среднего объема расх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 за I-III кварталы (без учета субвенций и су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F3" w:rsidRPr="001E285D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E285D">
              <w:rPr>
                <w:rFonts w:ascii="Times New Roman" w:hAnsi="Times New Roman" w:cs="Times New Roman"/>
                <w:sz w:val="22"/>
                <w:szCs w:val="22"/>
              </w:rPr>
              <w:t>ассмотреть целесообра</w:t>
            </w:r>
            <w:r w:rsidRPr="001E285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E285D">
              <w:rPr>
                <w:rFonts w:ascii="Times New Roman" w:hAnsi="Times New Roman" w:cs="Times New Roman"/>
                <w:sz w:val="22"/>
                <w:szCs w:val="22"/>
              </w:rPr>
              <w:t>ность изменения подходов к планированию расходов с целью их более равн</w:t>
            </w:r>
            <w:r w:rsidRPr="001E28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285D">
              <w:rPr>
                <w:rFonts w:ascii="Times New Roman" w:hAnsi="Times New Roman" w:cs="Times New Roman"/>
                <w:sz w:val="22"/>
                <w:szCs w:val="22"/>
              </w:rPr>
              <w:t>мерного распределения в течение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1E285D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количество уведомл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ний о внесении измен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ний в бюджетную  ро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пись расходов и лимитов бюджетных обяз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тельств, связанных с п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ремещением бюджетных ассигнований, в ходе и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44CF3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Обратить внимание на к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чество планирования ра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ходов и расчета соотве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ствующих расходных об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зательств с целью полн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 использования бю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жетных ассигнований, при выявлении возможных случаев неиспользования бюджетных ассигнований - вносить изменения в бюджетную роспись и р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E28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шение о бюджете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</w:tr>
      <w:tr w:rsidR="001E285D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-объем неисполненных бюджетных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ссигнов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B0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ний на конец отчетного финансового года;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F3" w:rsidRPr="00144CF3" w:rsidRDefault="00144CF3" w:rsidP="00951CE7">
            <w:pPr>
              <w:jc w:val="both"/>
            </w:pPr>
            <w:r w:rsidRPr="00144CF3">
              <w:rPr>
                <w:sz w:val="22"/>
                <w:szCs w:val="22"/>
              </w:rPr>
              <w:t>необходимо провести р</w:t>
            </w:r>
            <w:r w:rsidRPr="00144CF3">
              <w:rPr>
                <w:sz w:val="22"/>
                <w:szCs w:val="22"/>
              </w:rPr>
              <w:t>а</w:t>
            </w:r>
            <w:r w:rsidRPr="00144CF3">
              <w:rPr>
                <w:sz w:val="22"/>
                <w:szCs w:val="22"/>
              </w:rPr>
              <w:t xml:space="preserve">боту по повышению </w:t>
            </w:r>
          </w:p>
          <w:p w:rsidR="001E285D" w:rsidRDefault="00144CF3" w:rsidP="00951CE7">
            <w:pPr>
              <w:jc w:val="both"/>
              <w:rPr>
                <w:sz w:val="28"/>
                <w:szCs w:val="28"/>
                <w:lang w:eastAsia="en-US"/>
              </w:rPr>
            </w:pPr>
            <w:r w:rsidRPr="00144CF3">
              <w:rPr>
                <w:sz w:val="22"/>
                <w:szCs w:val="22"/>
              </w:rPr>
              <w:t>эффективности расход</w:t>
            </w:r>
            <w:r w:rsidRPr="00144CF3">
              <w:rPr>
                <w:sz w:val="22"/>
                <w:szCs w:val="22"/>
              </w:rPr>
              <w:t>о</w:t>
            </w:r>
            <w:r w:rsidRPr="00144CF3">
              <w:rPr>
                <w:sz w:val="22"/>
                <w:szCs w:val="22"/>
              </w:rPr>
              <w:t>вания бюджетных средств за счет</w:t>
            </w:r>
            <w:r>
              <w:rPr>
                <w:sz w:val="22"/>
                <w:szCs w:val="22"/>
              </w:rPr>
              <w:t xml:space="preserve"> </w:t>
            </w:r>
            <w:r w:rsidRPr="00144CF3">
              <w:rPr>
                <w:sz w:val="22"/>
                <w:szCs w:val="22"/>
              </w:rPr>
              <w:t>исключения низк</w:t>
            </w:r>
            <w:r w:rsidRPr="00144CF3">
              <w:rPr>
                <w:sz w:val="22"/>
                <w:szCs w:val="22"/>
              </w:rPr>
              <w:t>о</w:t>
            </w:r>
            <w:r w:rsidRPr="00144CF3">
              <w:rPr>
                <w:sz w:val="22"/>
                <w:szCs w:val="22"/>
              </w:rPr>
              <w:t>эффективных расходов;</w:t>
            </w:r>
          </w:p>
        </w:tc>
      </w:tr>
      <w:tr w:rsidR="001E285D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Pr="00AB0A46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ценка качества план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рования бюджетных    ассигнований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Pr="00330297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рассмотреть целесообра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ность изменения подходов к планированию расходов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очередной финансовый год;</w:t>
            </w:r>
          </w:p>
        </w:tc>
      </w:tr>
      <w:tr w:rsidR="001E285D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зменение дебиторской задолженности ГРБС и подведомственных ему муниципальных учре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дений в отчетном пери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 по сравнению с нач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лом года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33029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принять все необходимые меры к недопущению о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кредиторской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дебиторской 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задолженн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30297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ей;</w:t>
            </w:r>
          </w:p>
        </w:tc>
      </w:tr>
      <w:tr w:rsidR="001E285D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1E285D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облюдение сроков представления ГРБС г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довой  бюджетной 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четности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5D" w:rsidRDefault="00A2706E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необходимо  соблюдать бюджетное законодател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ство  и  повышать качес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 составления бюдже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 (бухгалтерской) о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четности</w:t>
            </w:r>
          </w:p>
        </w:tc>
      </w:tr>
      <w:tr w:rsidR="00AB0A46" w:rsidTr="00AB0A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AB0A46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46" w:rsidRDefault="00FE3657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FE3657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оответствие предо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тавленной в комитет ф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нансов бюджетной о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E36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четности установленным требованиям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6E" w:rsidRDefault="00A2706E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составлении бюдже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 отчетности  собл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дать  требования 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Приказ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Минфина России от 28.12.2010 N 191н "Об у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36B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дерации" </w:t>
            </w:r>
          </w:p>
          <w:p w:rsidR="00AB0A46" w:rsidRDefault="00A2706E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Для исключения  ошибок тщательно изучать норм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тивно правовые акты 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нистерства финансов РФ по вопросам  ведения бюджетного и бухгалте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ского учета и формиров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бюджетной и бухга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терской отчетности.</w:t>
            </w:r>
          </w:p>
        </w:tc>
      </w:tr>
    </w:tbl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A46" w:rsidRPr="0094199F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B0A46" w:rsidRPr="0094199F" w:rsidSect="00760470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8A" w:rsidRDefault="00613D8A" w:rsidP="00951CE7">
      <w:r>
        <w:separator/>
      </w:r>
    </w:p>
  </w:endnote>
  <w:endnote w:type="continuationSeparator" w:id="0">
    <w:p w:rsidR="00613D8A" w:rsidRDefault="00613D8A" w:rsidP="0095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719923"/>
      <w:docPartObj>
        <w:docPartGallery w:val="Page Numbers (Bottom of Page)"/>
        <w:docPartUnique/>
      </w:docPartObj>
    </w:sdtPr>
    <w:sdtContent>
      <w:p w:rsidR="00951CE7" w:rsidRDefault="00ED2398">
        <w:pPr>
          <w:pStyle w:val="ab"/>
          <w:jc w:val="right"/>
        </w:pPr>
        <w:r>
          <w:fldChar w:fldCharType="begin"/>
        </w:r>
        <w:r w:rsidR="00951CE7">
          <w:instrText>PAGE   \* MERGEFORMAT</w:instrText>
        </w:r>
        <w:r>
          <w:fldChar w:fldCharType="separate"/>
        </w:r>
        <w:r w:rsidR="001A0A2F">
          <w:rPr>
            <w:noProof/>
          </w:rPr>
          <w:t>2</w:t>
        </w:r>
        <w:r>
          <w:fldChar w:fldCharType="end"/>
        </w:r>
      </w:p>
    </w:sdtContent>
  </w:sdt>
  <w:p w:rsidR="00951CE7" w:rsidRDefault="00951C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8A" w:rsidRDefault="00613D8A" w:rsidP="00951CE7">
      <w:r>
        <w:separator/>
      </w:r>
    </w:p>
  </w:footnote>
  <w:footnote w:type="continuationSeparator" w:id="0">
    <w:p w:rsidR="00613D8A" w:rsidRDefault="00613D8A" w:rsidP="00951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45D37"/>
    <w:multiLevelType w:val="hybridMultilevel"/>
    <w:tmpl w:val="DF48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36"/>
    <w:rsid w:val="00077CF2"/>
    <w:rsid w:val="00103DBE"/>
    <w:rsid w:val="00144CF3"/>
    <w:rsid w:val="0017078D"/>
    <w:rsid w:val="001A0A2F"/>
    <w:rsid w:val="001E285D"/>
    <w:rsid w:val="001E337C"/>
    <w:rsid w:val="001F3846"/>
    <w:rsid w:val="00203FF4"/>
    <w:rsid w:val="002E34B2"/>
    <w:rsid w:val="00330297"/>
    <w:rsid w:val="00356ECE"/>
    <w:rsid w:val="00375428"/>
    <w:rsid w:val="003F7E53"/>
    <w:rsid w:val="0057685F"/>
    <w:rsid w:val="00613D8A"/>
    <w:rsid w:val="00647978"/>
    <w:rsid w:val="00687614"/>
    <w:rsid w:val="006B7C77"/>
    <w:rsid w:val="006F1F49"/>
    <w:rsid w:val="00760470"/>
    <w:rsid w:val="007C737E"/>
    <w:rsid w:val="008355F7"/>
    <w:rsid w:val="008C6422"/>
    <w:rsid w:val="00913892"/>
    <w:rsid w:val="0094199F"/>
    <w:rsid w:val="00951CE7"/>
    <w:rsid w:val="00962976"/>
    <w:rsid w:val="00972791"/>
    <w:rsid w:val="00983105"/>
    <w:rsid w:val="009A1231"/>
    <w:rsid w:val="00A120F9"/>
    <w:rsid w:val="00A2706E"/>
    <w:rsid w:val="00A36B93"/>
    <w:rsid w:val="00A4319A"/>
    <w:rsid w:val="00A46777"/>
    <w:rsid w:val="00AB0A46"/>
    <w:rsid w:val="00B82336"/>
    <w:rsid w:val="00BF1120"/>
    <w:rsid w:val="00BF28D3"/>
    <w:rsid w:val="00C62842"/>
    <w:rsid w:val="00C94D5A"/>
    <w:rsid w:val="00CA3E83"/>
    <w:rsid w:val="00CA53D7"/>
    <w:rsid w:val="00D02365"/>
    <w:rsid w:val="00ED2398"/>
    <w:rsid w:val="00EF2BE8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каждой группы показателей в общей оценке качества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5"/>
          <c:cat>
            <c:strRef>
              <c:f>Лист1!$A$2:$A$6</c:f>
              <c:strCache>
                <c:ptCount val="5"/>
                <c:pt idx="0">
                  <c:v>оценка механизмов планирования расходов бюджета – 11.9 %;</c:v>
                </c:pt>
                <c:pt idx="1">
                  <c:v>оценка результатов исполнения бюджета в части  расходов – 29.4 % ;</c:v>
                </c:pt>
                <c:pt idx="2">
                  <c:v> оценка управления обязательствами в процессе исполнения бюджета –23.5 %;</c:v>
                </c:pt>
                <c:pt idx="3">
                  <c:v>оценка состояния учета и отчетности  - 17.6 %;</c:v>
                </c:pt>
                <c:pt idx="4">
                  <c:v>оценка организации контроля  17.6 %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11.9</c:v>
                </c:pt>
                <c:pt idx="1">
                  <c:v>29.4</c:v>
                </c:pt>
                <c:pt idx="2">
                  <c:v>23.5</c:v>
                </c:pt>
                <c:pt idx="3">
                  <c:v>17.600000000000001</c:v>
                </c:pt>
                <c:pt idx="4">
                  <c:v>17.600000000000001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763998250218779"/>
          <c:y val="0.19832333458317719"/>
          <c:w val="0.33847112860892387"/>
          <c:h val="0.74204349456318019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B6B8-D2B2-47C0-BD28-FDF14D7D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5028</Words>
  <Characters>28662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zhulikovaoa</cp:lastModifiedBy>
  <cp:revision>2</cp:revision>
  <cp:lastPrinted>2017-04-28T07:16:00Z</cp:lastPrinted>
  <dcterms:created xsi:type="dcterms:W3CDTF">2017-07-27T12:25:00Z</dcterms:created>
  <dcterms:modified xsi:type="dcterms:W3CDTF">2017-07-27T12:25:00Z</dcterms:modified>
</cp:coreProperties>
</file>