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/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Оценка качества финансового менеджмента ГРБС  муниципального образования Волосовский  муниципальный район по итогам 201</w:t>
      </w:r>
      <w:r w:rsidR="006722C1">
        <w:rPr>
          <w:rFonts w:ascii="Times New Roman" w:hAnsi="Times New Roman"/>
          <w:szCs w:val="40"/>
        </w:rPr>
        <w:t xml:space="preserve">9 </w:t>
      </w:r>
      <w:r>
        <w:rPr>
          <w:rFonts w:ascii="Times New Roman" w:hAnsi="Times New Roman"/>
          <w:szCs w:val="40"/>
        </w:rPr>
        <w:t>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pStyle w:val="af"/>
        <w:spacing w:before="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10"/>
        <w:gridCol w:w="870"/>
      </w:tblGrid>
      <w:tr w:rsidR="00951CE7" w:rsidRPr="00760470" w:rsidTr="0076047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51CE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1. Аналитическая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B31F0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3-</w:t>
            </w:r>
            <w:r w:rsidR="00B31F09">
              <w:rPr>
                <w:sz w:val="28"/>
                <w:szCs w:val="28"/>
              </w:rPr>
              <w:t>10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6722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2.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 w:rsidR="003707E5">
              <w:rPr>
                <w:sz w:val="28"/>
                <w:szCs w:val="28"/>
              </w:rPr>
              <w:t xml:space="preserve"> за 201</w:t>
            </w:r>
            <w:r w:rsidR="006722C1">
              <w:rPr>
                <w:sz w:val="28"/>
                <w:szCs w:val="28"/>
              </w:rPr>
              <w:t>9</w:t>
            </w:r>
            <w:r w:rsidR="003707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011298" w:rsidP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0713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 w:rsidP="006722C1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60470">
              <w:rPr>
                <w:sz w:val="28"/>
                <w:szCs w:val="28"/>
              </w:rPr>
              <w:t xml:space="preserve">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>
              <w:rPr>
                <w:sz w:val="28"/>
                <w:szCs w:val="28"/>
              </w:rPr>
              <w:t xml:space="preserve">  за 201</w:t>
            </w:r>
            <w:r w:rsidR="006722C1">
              <w:rPr>
                <w:sz w:val="28"/>
                <w:szCs w:val="28"/>
              </w:rPr>
              <w:t>9</w:t>
            </w:r>
            <w:r w:rsidR="003707E5">
              <w:rPr>
                <w:sz w:val="28"/>
                <w:szCs w:val="28"/>
              </w:rPr>
              <w:t xml:space="preserve"> год в сравнении с </w:t>
            </w:r>
            <w:r>
              <w:rPr>
                <w:sz w:val="28"/>
                <w:szCs w:val="28"/>
              </w:rPr>
              <w:t>201</w:t>
            </w:r>
            <w:r w:rsidR="006722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Default="002D1D3D" w:rsidP="00597F1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70" w:rsidRPr="00760470" w:rsidRDefault="00F40713" w:rsidP="0076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1CE7"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Рекомендации по повышению качества финансового менед</w:t>
            </w:r>
            <w:r w:rsidR="00760470" w:rsidRPr="00760470">
              <w:rPr>
                <w:sz w:val="28"/>
                <w:szCs w:val="28"/>
              </w:rPr>
              <w:t>ж</w:t>
            </w:r>
            <w:r w:rsidR="00760470" w:rsidRPr="00760470">
              <w:rPr>
                <w:sz w:val="28"/>
                <w:szCs w:val="28"/>
              </w:rPr>
              <w:t>мента</w:t>
            </w:r>
          </w:p>
          <w:p w:rsidR="00951CE7" w:rsidRPr="00760470" w:rsidRDefault="00F40713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Pr="00760470" w:rsidRDefault="002D1D3D" w:rsidP="00597F1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7F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597F13">
              <w:rPr>
                <w:sz w:val="28"/>
                <w:szCs w:val="28"/>
              </w:rPr>
              <w:t>9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 w:rsidP="00597F1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</w:t>
            </w:r>
            <w:r w:rsidR="00597F13">
              <w:rPr>
                <w:sz w:val="28"/>
                <w:szCs w:val="28"/>
              </w:rPr>
              <w:t>1</w:t>
            </w:r>
            <w:r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Информация по исполнению показателей оценки качества финанс</w:t>
            </w:r>
            <w:r w:rsid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вого мен</w:t>
            </w:r>
            <w:r w:rsidR="00760470">
              <w:rPr>
                <w:sz w:val="28"/>
                <w:szCs w:val="28"/>
              </w:rPr>
              <w:t>е</w:t>
            </w:r>
            <w:r w:rsidR="00760470" w:rsidRPr="00760470">
              <w:rPr>
                <w:sz w:val="28"/>
                <w:szCs w:val="28"/>
              </w:rPr>
              <w:t xml:space="preserve">джмента за </w:t>
            </w:r>
            <w:r w:rsidR="003707E5">
              <w:rPr>
                <w:sz w:val="28"/>
                <w:szCs w:val="28"/>
              </w:rPr>
              <w:t>201</w:t>
            </w:r>
            <w:r w:rsidR="00597F13">
              <w:rPr>
                <w:sz w:val="28"/>
                <w:szCs w:val="28"/>
              </w:rPr>
              <w:t>6</w:t>
            </w:r>
            <w:r w:rsidR="003707E5">
              <w:rPr>
                <w:sz w:val="28"/>
                <w:szCs w:val="28"/>
              </w:rPr>
              <w:t>-</w:t>
            </w:r>
            <w:r w:rsidR="00760470" w:rsidRPr="00760470">
              <w:rPr>
                <w:sz w:val="28"/>
                <w:szCs w:val="28"/>
              </w:rPr>
              <w:t>201</w:t>
            </w:r>
            <w:r w:rsidR="006722C1">
              <w:rPr>
                <w:sz w:val="28"/>
                <w:szCs w:val="28"/>
              </w:rPr>
              <w:t>9</w:t>
            </w:r>
            <w:r w:rsidR="00760470" w:rsidRPr="00760470"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 xml:space="preserve">ы </w:t>
            </w:r>
            <w:r w:rsidR="00760470" w:rsidRPr="00760470">
              <w:rPr>
                <w:sz w:val="28"/>
                <w:szCs w:val="28"/>
              </w:rPr>
              <w:t xml:space="preserve"> ГРБС В</w:t>
            </w:r>
            <w:r w:rsidR="00760470" w:rsidRP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лосовского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597F1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</w:tr>
    </w:tbl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Волосовского м</w:t>
      </w:r>
      <w:r w:rsidRPr="0094199F">
        <w:rPr>
          <w:rFonts w:ascii="Times New Roman" w:hAnsi="Times New Roman"/>
          <w:b/>
          <w:sz w:val="28"/>
          <w:szCs w:val="28"/>
        </w:rPr>
        <w:t>у</w:t>
      </w:r>
      <w:r w:rsidRPr="0094199F">
        <w:rPr>
          <w:rFonts w:ascii="Times New Roman" w:hAnsi="Times New Roman"/>
          <w:b/>
          <w:sz w:val="28"/>
          <w:szCs w:val="28"/>
        </w:rPr>
        <w:t>ниципального района за 201</w:t>
      </w:r>
      <w:r w:rsidR="006722C1">
        <w:rPr>
          <w:rFonts w:ascii="Times New Roman" w:hAnsi="Times New Roman"/>
          <w:b/>
          <w:sz w:val="28"/>
          <w:szCs w:val="28"/>
        </w:rPr>
        <w:t>9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соответствии с Постановлением администрации Волосовского мун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ципального района от 10 августа 2016 года № 1208 «О порядке </w:t>
      </w:r>
      <w:proofErr w:type="gramStart"/>
      <w:r w:rsidRPr="0094199F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области»   проведена оценка качества финансового менеджмента главных распорядит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лей бюджетных средств бюджета Волосовского муниципального района (д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лее – оценка качества, ГРБС) за 201</w:t>
      </w:r>
      <w:r w:rsidR="006722C1">
        <w:rPr>
          <w:rFonts w:ascii="Times New Roman" w:hAnsi="Times New Roman"/>
          <w:sz w:val="28"/>
          <w:szCs w:val="28"/>
        </w:rPr>
        <w:t>9</w:t>
      </w:r>
      <w:r w:rsidRPr="0094199F">
        <w:rPr>
          <w:rFonts w:ascii="Times New Roman" w:hAnsi="Times New Roman"/>
          <w:sz w:val="28"/>
          <w:szCs w:val="28"/>
        </w:rPr>
        <w:t xml:space="preserve">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Оценка качества проводилась по </w:t>
      </w:r>
      <w:r w:rsidR="006722C1">
        <w:rPr>
          <w:rFonts w:ascii="Times New Roman" w:hAnsi="Times New Roman"/>
          <w:sz w:val="28"/>
          <w:szCs w:val="28"/>
        </w:rPr>
        <w:t>5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муниципального образования Волосовский муниципальный район Лени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</w:t>
      </w:r>
      <w:r w:rsidR="00935D8B" w:rsidRPr="0094199F">
        <w:rPr>
          <w:rFonts w:ascii="Times New Roman" w:hAnsi="Times New Roman"/>
          <w:sz w:val="28"/>
          <w:szCs w:val="28"/>
        </w:rPr>
        <w:t>Комитет по управлению муниципальным имущ</w:t>
      </w:r>
      <w:r w:rsidR="00935D8B" w:rsidRPr="0094199F">
        <w:rPr>
          <w:rFonts w:ascii="Times New Roman" w:hAnsi="Times New Roman"/>
          <w:sz w:val="28"/>
          <w:szCs w:val="28"/>
        </w:rPr>
        <w:t>е</w:t>
      </w:r>
      <w:r w:rsidR="00935D8B" w:rsidRPr="0094199F">
        <w:rPr>
          <w:rFonts w:ascii="Times New Roman" w:hAnsi="Times New Roman"/>
          <w:sz w:val="28"/>
          <w:szCs w:val="28"/>
        </w:rPr>
        <w:t>ством</w:t>
      </w:r>
      <w:r w:rsidR="00935D8B">
        <w:rPr>
          <w:rFonts w:ascii="Times New Roman" w:hAnsi="Times New Roman"/>
          <w:sz w:val="28"/>
          <w:szCs w:val="28"/>
        </w:rPr>
        <w:t>)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образования администрации Волосовского муниципального района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Комитет образования);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финансов администрации Волосовского муниципального рай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Комитет финансов)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>разования Волосовский муниципальный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</w:t>
      </w:r>
      <w:r w:rsidR="00935D8B">
        <w:rPr>
          <w:rFonts w:ascii="Times New Roman" w:hAnsi="Times New Roman"/>
          <w:sz w:val="28"/>
          <w:szCs w:val="28"/>
        </w:rPr>
        <w:t>а</w:t>
      </w:r>
      <w:r w:rsidR="00935D8B">
        <w:rPr>
          <w:rFonts w:ascii="Times New Roman" w:hAnsi="Times New Roman"/>
          <w:sz w:val="28"/>
          <w:szCs w:val="28"/>
        </w:rPr>
        <w:t>лее – Комитет по городскому хозяйству)</w:t>
      </w:r>
      <w:r w:rsidRPr="0094199F">
        <w:rPr>
          <w:rFonts w:ascii="Times New Roman" w:hAnsi="Times New Roman"/>
          <w:sz w:val="28"/>
          <w:szCs w:val="28"/>
        </w:rPr>
        <w:t>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структурными подразделениями администрации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 муниципал</w:t>
      </w:r>
      <w:r w:rsidRPr="0094199F">
        <w:rPr>
          <w:rFonts w:ascii="Times New Roman" w:hAnsi="Times New Roman"/>
          <w:sz w:val="28"/>
          <w:szCs w:val="28"/>
        </w:rPr>
        <w:t>ь</w:t>
      </w:r>
      <w:r w:rsidRPr="0094199F">
        <w:rPr>
          <w:rFonts w:ascii="Times New Roman" w:hAnsi="Times New Roman"/>
          <w:sz w:val="28"/>
          <w:szCs w:val="28"/>
        </w:rPr>
        <w:t xml:space="preserve">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механизмов планирования расходов бюджета – 11</w:t>
      </w:r>
      <w:r w:rsidR="00962976">
        <w:rPr>
          <w:rFonts w:ascii="Times New Roman" w:hAnsi="Times New Roman"/>
          <w:sz w:val="28"/>
          <w:szCs w:val="28"/>
        </w:rPr>
        <w:t>,</w:t>
      </w:r>
      <w:r w:rsidR="00371B15">
        <w:rPr>
          <w:rFonts w:ascii="Times New Roman" w:hAnsi="Times New Roman"/>
          <w:sz w:val="28"/>
          <w:szCs w:val="28"/>
        </w:rPr>
        <w:t>9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результатов исполнения бюджета в части  расходов – </w:t>
      </w:r>
      <w:r w:rsidR="00962976">
        <w:rPr>
          <w:rFonts w:ascii="Times New Roman" w:hAnsi="Times New Roman"/>
          <w:sz w:val="28"/>
          <w:szCs w:val="28"/>
        </w:rPr>
        <w:t>29,4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оценка управления обязательствами в процессе исполнения бюджета – </w:t>
      </w:r>
      <w:r w:rsidR="00962976">
        <w:rPr>
          <w:rFonts w:ascii="Times New Roman" w:hAnsi="Times New Roman"/>
          <w:sz w:val="28"/>
          <w:szCs w:val="28"/>
        </w:rPr>
        <w:t>23,5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состояния учета и отчетности  - 17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организации контроля  - 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775F4A" wp14:editId="5B8F4C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оценен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 w:rsidR="00B20973"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</w:t>
      </w:r>
      <w:r w:rsidR="00687614" w:rsidRPr="0094199F">
        <w:rPr>
          <w:rFonts w:ascii="Times New Roman" w:hAnsi="Times New Roman"/>
          <w:sz w:val="28"/>
          <w:szCs w:val="28"/>
        </w:rPr>
        <w:t>и</w:t>
      </w:r>
      <w:r w:rsidR="00687614" w:rsidRPr="0094199F">
        <w:rPr>
          <w:rFonts w:ascii="Times New Roman" w:hAnsi="Times New Roman"/>
          <w:sz w:val="28"/>
          <w:szCs w:val="28"/>
        </w:rPr>
        <w:t>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8D5021">
        <w:rPr>
          <w:rFonts w:ascii="Times New Roman" w:hAnsi="Times New Roman"/>
          <w:sz w:val="28"/>
          <w:szCs w:val="28"/>
        </w:rPr>
        <w:t>5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Уровень исполнения расходов ГРБС за счет средств местного бюдж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та (без учета субвенций и  субсидий)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Позитивно расценивается уровень исполнения расходов за счет средств местного бюджета не менее 95%</w:t>
      </w:r>
      <w:r w:rsidR="00B20973">
        <w:rPr>
          <w:rFonts w:ascii="Times New Roman" w:hAnsi="Times New Roman"/>
          <w:sz w:val="28"/>
          <w:szCs w:val="28"/>
        </w:rPr>
        <w:t>.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</w:t>
      </w:r>
      <w:r w:rsidRPr="00CA2DBB">
        <w:rPr>
          <w:rFonts w:ascii="Times New Roman" w:hAnsi="Times New Roman"/>
          <w:sz w:val="28"/>
          <w:szCs w:val="28"/>
        </w:rPr>
        <w:t>201</w:t>
      </w:r>
      <w:r w:rsidR="00371B15">
        <w:rPr>
          <w:rFonts w:ascii="Times New Roman" w:hAnsi="Times New Roman"/>
          <w:sz w:val="28"/>
          <w:szCs w:val="28"/>
        </w:rPr>
        <w:t>9</w:t>
      </w:r>
      <w:r w:rsidRPr="00CA2DBB">
        <w:rPr>
          <w:rFonts w:ascii="Times New Roman" w:hAnsi="Times New Roman"/>
          <w:sz w:val="28"/>
          <w:szCs w:val="28"/>
        </w:rPr>
        <w:t xml:space="preserve"> год  </w:t>
      </w:r>
      <w:r w:rsidR="0010169F">
        <w:rPr>
          <w:rFonts w:ascii="Times New Roman" w:hAnsi="Times New Roman"/>
          <w:sz w:val="28"/>
          <w:szCs w:val="28"/>
        </w:rPr>
        <w:t xml:space="preserve">Администрация  94,5%, </w:t>
      </w:r>
      <w:r w:rsidRPr="00CA2DBB">
        <w:rPr>
          <w:rFonts w:ascii="Times New Roman" w:hAnsi="Times New Roman"/>
          <w:sz w:val="28"/>
          <w:szCs w:val="28"/>
        </w:rPr>
        <w:t>Комитет</w:t>
      </w:r>
      <w:r w:rsidR="008355F7" w:rsidRPr="00CA2DBB">
        <w:rPr>
          <w:rFonts w:ascii="Times New Roman" w:hAnsi="Times New Roman"/>
          <w:sz w:val="28"/>
          <w:szCs w:val="28"/>
        </w:rPr>
        <w:t xml:space="preserve"> фина</w:t>
      </w:r>
      <w:r w:rsidR="008355F7" w:rsidRPr="00CA2DBB">
        <w:rPr>
          <w:rFonts w:ascii="Times New Roman" w:hAnsi="Times New Roman"/>
          <w:sz w:val="28"/>
          <w:szCs w:val="28"/>
        </w:rPr>
        <w:t>н</w:t>
      </w:r>
      <w:r w:rsidR="008355F7" w:rsidRPr="00CA2DBB">
        <w:rPr>
          <w:rFonts w:ascii="Times New Roman" w:hAnsi="Times New Roman"/>
          <w:sz w:val="28"/>
          <w:szCs w:val="28"/>
        </w:rPr>
        <w:t xml:space="preserve">сов </w:t>
      </w:r>
      <w:r w:rsidR="0010169F">
        <w:rPr>
          <w:rFonts w:ascii="Times New Roman" w:hAnsi="Times New Roman"/>
          <w:sz w:val="28"/>
          <w:szCs w:val="28"/>
        </w:rPr>
        <w:t>95,6 %</w:t>
      </w:r>
      <w:r w:rsidR="004D4880">
        <w:rPr>
          <w:rFonts w:ascii="Times New Roman" w:hAnsi="Times New Roman"/>
          <w:sz w:val="28"/>
          <w:szCs w:val="28"/>
        </w:rPr>
        <w:t>, , Комитет</w:t>
      </w:r>
      <w:r w:rsidR="004D4880" w:rsidRPr="004D4880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 xml:space="preserve">по городскому хозяйству </w:t>
      </w:r>
      <w:r w:rsidR="0010169F">
        <w:rPr>
          <w:rFonts w:ascii="Times New Roman" w:hAnsi="Times New Roman"/>
          <w:sz w:val="28"/>
          <w:szCs w:val="28"/>
        </w:rPr>
        <w:t xml:space="preserve">99,3%, Комитет образования </w:t>
      </w:r>
      <w:r w:rsidR="00B4489C">
        <w:rPr>
          <w:rFonts w:ascii="Times New Roman" w:hAnsi="Times New Roman"/>
          <w:sz w:val="28"/>
          <w:szCs w:val="28"/>
        </w:rPr>
        <w:t>99,7</w:t>
      </w:r>
      <w:r w:rsidR="0010169F">
        <w:rPr>
          <w:rFonts w:ascii="Times New Roman" w:hAnsi="Times New Roman"/>
          <w:sz w:val="28"/>
          <w:szCs w:val="28"/>
        </w:rPr>
        <w:t xml:space="preserve"> %</w:t>
      </w:r>
      <w:r w:rsidR="00B4489C">
        <w:rPr>
          <w:rFonts w:ascii="Times New Roman" w:hAnsi="Times New Roman"/>
          <w:sz w:val="28"/>
          <w:szCs w:val="28"/>
        </w:rPr>
        <w:t>, Комитет по управлению имуществом 100,0%</w:t>
      </w:r>
      <w:r w:rsidR="008355F7" w:rsidRPr="00CA2DBB">
        <w:rPr>
          <w:rFonts w:ascii="Times New Roman" w:hAnsi="Times New Roman"/>
          <w:sz w:val="28"/>
          <w:szCs w:val="28"/>
        </w:rPr>
        <w:t xml:space="preserve">.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2) Доля  объема расходов бюджета в IV квартале от среднего объема расходов за   1-III кварталы (без учета субвенций и субсидий)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Показатель выявляет концентрацию расходов ГРБС в IV квартале отче</w:t>
      </w:r>
      <w:r w:rsidRPr="00CA2DBB">
        <w:rPr>
          <w:rFonts w:ascii="Times New Roman" w:hAnsi="Times New Roman"/>
          <w:sz w:val="28"/>
          <w:szCs w:val="28"/>
        </w:rPr>
        <w:t>т</w:t>
      </w:r>
      <w:r w:rsidRPr="00CA2DBB">
        <w:rPr>
          <w:rFonts w:ascii="Times New Roman" w:hAnsi="Times New Roman"/>
          <w:sz w:val="28"/>
          <w:szCs w:val="28"/>
        </w:rPr>
        <w:t>ного финансового года. Целевым ориентиром является значение показателя, равное или меньше 25%.</w:t>
      </w:r>
    </w:p>
    <w:p w:rsidR="00B4489C" w:rsidRPr="0094199F" w:rsidRDefault="008355F7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CA2DBB" w:rsidRPr="00CA2DBB">
        <w:rPr>
          <w:rFonts w:ascii="Times New Roman" w:hAnsi="Times New Roman"/>
          <w:sz w:val="28"/>
          <w:szCs w:val="28"/>
        </w:rPr>
        <w:t>По итогам  201</w:t>
      </w:r>
      <w:r w:rsidR="00B4489C">
        <w:rPr>
          <w:rFonts w:ascii="Times New Roman" w:hAnsi="Times New Roman"/>
          <w:sz w:val="28"/>
          <w:szCs w:val="28"/>
        </w:rPr>
        <w:t>9</w:t>
      </w:r>
      <w:r w:rsidR="00CA2DBB" w:rsidRPr="00CA2DBB">
        <w:rPr>
          <w:rFonts w:ascii="Times New Roman" w:hAnsi="Times New Roman"/>
          <w:sz w:val="28"/>
          <w:szCs w:val="28"/>
        </w:rPr>
        <w:t xml:space="preserve"> года</w:t>
      </w:r>
      <w:r w:rsidR="004D4880">
        <w:rPr>
          <w:rFonts w:ascii="Times New Roman" w:hAnsi="Times New Roman"/>
          <w:sz w:val="28"/>
          <w:szCs w:val="28"/>
        </w:rPr>
        <w:t xml:space="preserve"> </w:t>
      </w:r>
      <w:r w:rsidR="00B4489C">
        <w:rPr>
          <w:rFonts w:ascii="Times New Roman" w:hAnsi="Times New Roman"/>
          <w:sz w:val="28"/>
          <w:szCs w:val="28"/>
        </w:rPr>
        <w:t xml:space="preserve">все </w:t>
      </w:r>
      <w:r w:rsidR="00B4489C" w:rsidRPr="00CA2DBB">
        <w:rPr>
          <w:rFonts w:ascii="Times New Roman" w:hAnsi="Times New Roman"/>
          <w:sz w:val="28"/>
          <w:szCs w:val="28"/>
        </w:rPr>
        <w:t>ГРБС  не  выполнил</w:t>
      </w:r>
      <w:r w:rsidR="00B4489C">
        <w:rPr>
          <w:rFonts w:ascii="Times New Roman" w:hAnsi="Times New Roman"/>
          <w:sz w:val="28"/>
          <w:szCs w:val="28"/>
        </w:rPr>
        <w:t>и</w:t>
      </w:r>
      <w:r w:rsidR="00B4489C" w:rsidRPr="00CA2DBB">
        <w:rPr>
          <w:rFonts w:ascii="Times New Roman" w:hAnsi="Times New Roman"/>
          <w:sz w:val="28"/>
          <w:szCs w:val="28"/>
        </w:rPr>
        <w:t xml:space="preserve">  показатель</w:t>
      </w:r>
      <w:r w:rsidR="00CA2DBB" w:rsidRPr="00CA2DBB">
        <w:rPr>
          <w:rFonts w:ascii="Times New Roman" w:hAnsi="Times New Roman"/>
          <w:sz w:val="28"/>
          <w:szCs w:val="28"/>
        </w:rPr>
        <w:t xml:space="preserve">, у всех </w:t>
      </w:r>
      <w:r w:rsidR="00647978" w:rsidRPr="00CA2DBB">
        <w:rPr>
          <w:rFonts w:ascii="Times New Roman" w:hAnsi="Times New Roman"/>
          <w:sz w:val="28"/>
          <w:szCs w:val="28"/>
        </w:rPr>
        <w:t xml:space="preserve"> ГРБС  данный показатель более </w:t>
      </w:r>
      <w:r w:rsidR="004D4880">
        <w:rPr>
          <w:rFonts w:ascii="Times New Roman" w:hAnsi="Times New Roman"/>
          <w:sz w:val="28"/>
          <w:szCs w:val="28"/>
        </w:rPr>
        <w:t>25,0</w:t>
      </w:r>
      <w:r w:rsidR="00647978" w:rsidRPr="00CA2DBB">
        <w:rPr>
          <w:rFonts w:ascii="Times New Roman" w:hAnsi="Times New Roman"/>
          <w:sz w:val="28"/>
          <w:szCs w:val="28"/>
        </w:rPr>
        <w:t xml:space="preserve"> %.</w:t>
      </w:r>
      <w:r w:rsidR="004D4880">
        <w:rPr>
          <w:rFonts w:ascii="Times New Roman" w:hAnsi="Times New Roman"/>
          <w:sz w:val="28"/>
          <w:szCs w:val="28"/>
        </w:rPr>
        <w:t xml:space="preserve"> По сравнению с 201</w:t>
      </w:r>
      <w:r w:rsidR="00B4489C">
        <w:rPr>
          <w:rFonts w:ascii="Times New Roman" w:hAnsi="Times New Roman"/>
          <w:sz w:val="28"/>
          <w:szCs w:val="28"/>
        </w:rPr>
        <w:t>8</w:t>
      </w:r>
      <w:r w:rsidR="004D4880">
        <w:rPr>
          <w:rFonts w:ascii="Times New Roman" w:hAnsi="Times New Roman"/>
          <w:sz w:val="28"/>
          <w:szCs w:val="28"/>
        </w:rPr>
        <w:t xml:space="preserve"> годом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B4489C">
        <w:rPr>
          <w:rFonts w:ascii="Times New Roman" w:hAnsi="Times New Roman"/>
          <w:sz w:val="28"/>
          <w:szCs w:val="28"/>
        </w:rPr>
        <w:t>ухудш</w:t>
      </w:r>
      <w:r w:rsidR="00B4489C">
        <w:rPr>
          <w:rFonts w:ascii="Times New Roman" w:hAnsi="Times New Roman"/>
          <w:sz w:val="28"/>
          <w:szCs w:val="28"/>
        </w:rPr>
        <w:t>и</w:t>
      </w:r>
      <w:r w:rsidR="00B4489C">
        <w:rPr>
          <w:rFonts w:ascii="Times New Roman" w:hAnsi="Times New Roman"/>
          <w:sz w:val="28"/>
          <w:szCs w:val="28"/>
        </w:rPr>
        <w:t xml:space="preserve">ли 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>показат</w:t>
      </w:r>
      <w:r w:rsidR="00556995">
        <w:rPr>
          <w:rFonts w:ascii="Times New Roman" w:hAnsi="Times New Roman"/>
          <w:sz w:val="28"/>
          <w:szCs w:val="28"/>
        </w:rPr>
        <w:t>е</w:t>
      </w:r>
      <w:r w:rsidR="004D4880">
        <w:rPr>
          <w:rFonts w:ascii="Times New Roman" w:hAnsi="Times New Roman"/>
          <w:sz w:val="28"/>
          <w:szCs w:val="28"/>
        </w:rPr>
        <w:t xml:space="preserve">ль </w:t>
      </w:r>
      <w:r w:rsidR="00B4489C">
        <w:rPr>
          <w:rFonts w:ascii="Times New Roman" w:hAnsi="Times New Roman"/>
          <w:sz w:val="28"/>
          <w:szCs w:val="28"/>
        </w:rPr>
        <w:t xml:space="preserve"> Администрация,</w:t>
      </w:r>
      <w:r w:rsidR="00B4489C" w:rsidRPr="00B4489C">
        <w:rPr>
          <w:rFonts w:ascii="Times New Roman" w:hAnsi="Times New Roman"/>
          <w:sz w:val="28"/>
          <w:szCs w:val="28"/>
        </w:rPr>
        <w:t xml:space="preserve"> </w:t>
      </w:r>
      <w:r w:rsidR="00B4489C">
        <w:rPr>
          <w:rFonts w:ascii="Times New Roman" w:hAnsi="Times New Roman"/>
          <w:sz w:val="28"/>
          <w:szCs w:val="28"/>
        </w:rPr>
        <w:t>Комитет образования,</w:t>
      </w:r>
      <w:r w:rsidR="00B4489C" w:rsidRPr="00B4489C">
        <w:rPr>
          <w:rFonts w:ascii="Times New Roman" w:hAnsi="Times New Roman"/>
          <w:sz w:val="28"/>
          <w:szCs w:val="28"/>
        </w:rPr>
        <w:t xml:space="preserve"> </w:t>
      </w:r>
      <w:r w:rsidR="00B4489C">
        <w:rPr>
          <w:rFonts w:ascii="Times New Roman" w:hAnsi="Times New Roman"/>
          <w:sz w:val="28"/>
          <w:szCs w:val="28"/>
        </w:rPr>
        <w:t>Комитет по городск</w:t>
      </w:r>
      <w:r w:rsidR="00B4489C">
        <w:rPr>
          <w:rFonts w:ascii="Times New Roman" w:hAnsi="Times New Roman"/>
          <w:sz w:val="28"/>
          <w:szCs w:val="28"/>
        </w:rPr>
        <w:t>о</w:t>
      </w:r>
      <w:r w:rsidR="00B4489C">
        <w:rPr>
          <w:rFonts w:ascii="Times New Roman" w:hAnsi="Times New Roman"/>
          <w:sz w:val="28"/>
          <w:szCs w:val="28"/>
        </w:rPr>
        <w:t>му хозяйству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3) Количество уведомлений о внесении изменений в бюджетную ро</w:t>
      </w:r>
      <w:r w:rsidRPr="00CA2DBB">
        <w:rPr>
          <w:rFonts w:ascii="Times New Roman" w:hAnsi="Times New Roman"/>
          <w:sz w:val="28"/>
          <w:szCs w:val="28"/>
        </w:rPr>
        <w:t>с</w:t>
      </w:r>
      <w:r w:rsidRPr="00CA2DBB">
        <w:rPr>
          <w:rFonts w:ascii="Times New Roman" w:hAnsi="Times New Roman"/>
          <w:sz w:val="28"/>
          <w:szCs w:val="28"/>
        </w:rPr>
        <w:t>пись расходов и лимитов бюджетных обязательств, связанных с перемещен</w:t>
      </w:r>
      <w:r w:rsidRPr="00CA2DBB">
        <w:rPr>
          <w:rFonts w:ascii="Times New Roman" w:hAnsi="Times New Roman"/>
          <w:sz w:val="28"/>
          <w:szCs w:val="28"/>
        </w:rPr>
        <w:t>и</w:t>
      </w:r>
      <w:r w:rsidRPr="00CA2DBB">
        <w:rPr>
          <w:rFonts w:ascii="Times New Roman" w:hAnsi="Times New Roman"/>
          <w:sz w:val="28"/>
          <w:szCs w:val="28"/>
        </w:rPr>
        <w:t>ем бюджетных ассигнований, в ходе исполнения бюджета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47978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Большое количество уведомлений о внесении изменений в роспись ра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>ходов и лимитов бюджетных обязательств в ходе исполнения бюджета св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детельствует о низком качестве работы ГРБС  по бюджетному планированию (оценка проведена из расчета 1 условное учреждение).</w:t>
      </w:r>
    </w:p>
    <w:p w:rsidR="00556995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</w:t>
      </w:r>
      <w:r w:rsidR="00CA2D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B448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худший показатель  по комитету образования  - </w:t>
      </w:r>
      <w:r w:rsidR="00B4489C">
        <w:rPr>
          <w:rFonts w:ascii="Times New Roman" w:hAnsi="Times New Roman"/>
          <w:sz w:val="28"/>
          <w:szCs w:val="28"/>
        </w:rPr>
        <w:t>320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 (в расчете  на 1 подведомственное учреждение)</w:t>
      </w:r>
      <w:r w:rsidR="00556995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Объем неисполненных бюджетных ассигнований на конец отчетного финансового года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</w:r>
    </w:p>
    <w:p w:rsidR="00C94D5A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Лучший показатель  0,0</w:t>
      </w:r>
      <w:r w:rsidR="00CA2DBB">
        <w:rPr>
          <w:rFonts w:ascii="Times New Roman" w:hAnsi="Times New Roman"/>
          <w:sz w:val="28"/>
          <w:szCs w:val="28"/>
        </w:rPr>
        <w:t>0</w:t>
      </w:r>
      <w:r w:rsidRPr="0094199F">
        <w:rPr>
          <w:rFonts w:ascii="Times New Roman" w:hAnsi="Times New Roman"/>
          <w:sz w:val="28"/>
          <w:szCs w:val="28"/>
        </w:rPr>
        <w:t xml:space="preserve"> %  у  Ко</w:t>
      </w:r>
      <w:r w:rsidR="008D2BAB">
        <w:rPr>
          <w:rFonts w:ascii="Times New Roman" w:hAnsi="Times New Roman"/>
          <w:sz w:val="28"/>
          <w:szCs w:val="28"/>
        </w:rPr>
        <w:t>митета по управлению имуществом.</w:t>
      </w:r>
    </w:p>
    <w:p w:rsidR="008D2BAB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 от </w:t>
      </w:r>
      <w:r w:rsidR="00B4489C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%</w:t>
      </w:r>
      <w:r w:rsidR="002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у  Комитета </w:t>
      </w:r>
      <w:r w:rsidR="00B4489C">
        <w:rPr>
          <w:rFonts w:ascii="Times New Roman" w:hAnsi="Times New Roman"/>
          <w:sz w:val="28"/>
          <w:szCs w:val="28"/>
        </w:rPr>
        <w:t>образования</w:t>
      </w:r>
      <w:r w:rsidR="008D50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Показатели </w:t>
      </w:r>
      <w:r w:rsidR="00556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ГРБС</w:t>
      </w:r>
      <w:r w:rsidR="008D5021">
        <w:rPr>
          <w:rFonts w:ascii="Times New Roman" w:hAnsi="Times New Roman"/>
          <w:sz w:val="28"/>
          <w:szCs w:val="28"/>
        </w:rPr>
        <w:t xml:space="preserve">  с</w:t>
      </w:r>
      <w:r w:rsidR="008D5021">
        <w:rPr>
          <w:rFonts w:ascii="Times New Roman" w:hAnsi="Times New Roman"/>
          <w:sz w:val="28"/>
          <w:szCs w:val="28"/>
        </w:rPr>
        <w:t>о</w:t>
      </w:r>
      <w:r w:rsidR="008D5021">
        <w:rPr>
          <w:rFonts w:ascii="Times New Roman" w:hAnsi="Times New Roman"/>
          <w:sz w:val="28"/>
          <w:szCs w:val="28"/>
        </w:rPr>
        <w:t xml:space="preserve">ставляют от </w:t>
      </w:r>
      <w:r w:rsidR="00556995">
        <w:rPr>
          <w:rFonts w:ascii="Times New Roman" w:hAnsi="Times New Roman"/>
          <w:sz w:val="28"/>
          <w:szCs w:val="28"/>
        </w:rPr>
        <w:t>0,</w:t>
      </w:r>
      <w:r w:rsidR="00B4489C">
        <w:rPr>
          <w:rFonts w:ascii="Times New Roman" w:hAnsi="Times New Roman"/>
          <w:sz w:val="28"/>
          <w:szCs w:val="28"/>
        </w:rPr>
        <w:t>7</w:t>
      </w:r>
      <w:r w:rsidR="008D5021">
        <w:rPr>
          <w:rFonts w:ascii="Times New Roman" w:hAnsi="Times New Roman"/>
          <w:sz w:val="28"/>
          <w:szCs w:val="28"/>
        </w:rPr>
        <w:t xml:space="preserve"> до </w:t>
      </w:r>
      <w:r w:rsidR="00B4489C">
        <w:rPr>
          <w:rFonts w:ascii="Times New Roman" w:hAnsi="Times New Roman"/>
          <w:sz w:val="28"/>
          <w:szCs w:val="28"/>
        </w:rPr>
        <w:t>14,6</w:t>
      </w:r>
      <w:r w:rsidR="008D5021">
        <w:rPr>
          <w:rFonts w:ascii="Times New Roman" w:hAnsi="Times New Roman"/>
          <w:sz w:val="28"/>
          <w:szCs w:val="28"/>
        </w:rPr>
        <w:t xml:space="preserve"> %% </w:t>
      </w:r>
      <w:r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5) Оценка качества планирования бюджетных ассигнований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D2BAB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 качество планирования бюджетных 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 xml:space="preserve">сигнований ГРБС. </w:t>
      </w:r>
    </w:p>
    <w:p w:rsidR="00C94D5A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Худший результат с</w:t>
      </w:r>
      <w:r w:rsidR="00C94D5A" w:rsidRPr="0094199F">
        <w:rPr>
          <w:rFonts w:ascii="Times New Roman" w:hAnsi="Times New Roman"/>
          <w:sz w:val="28"/>
          <w:szCs w:val="28"/>
        </w:rPr>
        <w:t xml:space="preserve">реди </w:t>
      </w:r>
      <w:r w:rsidR="00556995">
        <w:rPr>
          <w:rFonts w:ascii="Times New Roman" w:hAnsi="Times New Roman"/>
          <w:sz w:val="28"/>
          <w:szCs w:val="28"/>
        </w:rPr>
        <w:t>пяти</w:t>
      </w:r>
      <w:r w:rsidR="00C94D5A" w:rsidRPr="0094199F">
        <w:rPr>
          <w:rFonts w:ascii="Times New Roman" w:hAnsi="Times New Roman"/>
          <w:sz w:val="28"/>
          <w:szCs w:val="28"/>
        </w:rPr>
        <w:t xml:space="preserve"> ГРБС у </w:t>
      </w:r>
      <w:r w:rsidR="00556995">
        <w:rPr>
          <w:rFonts w:ascii="Times New Roman" w:hAnsi="Times New Roman"/>
          <w:sz w:val="28"/>
          <w:szCs w:val="28"/>
        </w:rPr>
        <w:t xml:space="preserve">Администрации </w:t>
      </w:r>
      <w:r w:rsidR="00C94D5A" w:rsidRPr="00941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4D5A" w:rsidRPr="0094199F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ки </w:t>
      </w:r>
      <w:r w:rsidR="00C94D5A" w:rsidRPr="0094199F">
        <w:rPr>
          <w:rFonts w:ascii="Times New Roman" w:hAnsi="Times New Roman"/>
          <w:sz w:val="28"/>
          <w:szCs w:val="28"/>
        </w:rPr>
        <w:t xml:space="preserve"> равное </w:t>
      </w:r>
      <w:r w:rsidR="00B4489C">
        <w:rPr>
          <w:rFonts w:ascii="Times New Roman" w:hAnsi="Times New Roman"/>
          <w:sz w:val="28"/>
          <w:szCs w:val="28"/>
        </w:rPr>
        <w:t>21,7</w:t>
      </w:r>
      <w:r w:rsidR="00556995">
        <w:rPr>
          <w:rFonts w:ascii="Times New Roman" w:hAnsi="Times New Roman"/>
          <w:sz w:val="28"/>
          <w:szCs w:val="28"/>
        </w:rPr>
        <w:t>%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3.  Оценка управления обязательствами в процессе исполнения бюджета</w:t>
      </w:r>
    </w:p>
    <w:p w:rsidR="00C94D5A" w:rsidRPr="0079367C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1)</w:t>
      </w:r>
      <w:r w:rsidR="00C94D5A" w:rsidRPr="0094199F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</w:t>
      </w:r>
      <w:r w:rsidR="00C94D5A" w:rsidRPr="0079367C">
        <w:rPr>
          <w:rFonts w:ascii="Times New Roman" w:hAnsi="Times New Roman"/>
          <w:sz w:val="28"/>
          <w:szCs w:val="28"/>
        </w:rPr>
        <w:t>ему муниципальных учреждений в отчетном периоде по сравнению с нач</w:t>
      </w:r>
      <w:r w:rsidR="00C94D5A" w:rsidRPr="0079367C">
        <w:rPr>
          <w:rFonts w:ascii="Times New Roman" w:hAnsi="Times New Roman"/>
          <w:sz w:val="28"/>
          <w:szCs w:val="28"/>
        </w:rPr>
        <w:t>а</w:t>
      </w:r>
      <w:r w:rsidR="00C94D5A" w:rsidRPr="0079367C">
        <w:rPr>
          <w:rFonts w:ascii="Times New Roman" w:hAnsi="Times New Roman"/>
          <w:sz w:val="28"/>
          <w:szCs w:val="28"/>
        </w:rPr>
        <w:t>лом года.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3032C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8D2BAB" w:rsidRPr="0079367C">
        <w:rPr>
          <w:rFonts w:ascii="Times New Roman" w:hAnsi="Times New Roman"/>
          <w:sz w:val="28"/>
          <w:szCs w:val="28"/>
        </w:rPr>
        <w:t>Администрации МО</w:t>
      </w:r>
      <w:r w:rsidR="00227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7D5D">
        <w:rPr>
          <w:rFonts w:ascii="Times New Roman" w:hAnsi="Times New Roman"/>
          <w:sz w:val="28"/>
          <w:szCs w:val="28"/>
        </w:rPr>
        <w:t>Куми</w:t>
      </w:r>
      <w:proofErr w:type="spellEnd"/>
      <w:r w:rsidR="00227D5D">
        <w:rPr>
          <w:rFonts w:ascii="Times New Roman" w:hAnsi="Times New Roman"/>
          <w:sz w:val="28"/>
          <w:szCs w:val="28"/>
        </w:rPr>
        <w:t>, Комитету образ</w:t>
      </w:r>
      <w:r w:rsidR="00227D5D">
        <w:rPr>
          <w:rFonts w:ascii="Times New Roman" w:hAnsi="Times New Roman"/>
          <w:sz w:val="28"/>
          <w:szCs w:val="28"/>
        </w:rPr>
        <w:t>о</w:t>
      </w:r>
      <w:r w:rsidR="00227D5D">
        <w:rPr>
          <w:rFonts w:ascii="Times New Roman" w:hAnsi="Times New Roman"/>
          <w:sz w:val="28"/>
          <w:szCs w:val="28"/>
        </w:rPr>
        <w:t xml:space="preserve">вания, </w:t>
      </w:r>
      <w:r w:rsidR="008D2BAB" w:rsidRPr="0079367C">
        <w:rPr>
          <w:rFonts w:ascii="Times New Roman" w:hAnsi="Times New Roman"/>
          <w:sz w:val="28"/>
          <w:szCs w:val="28"/>
        </w:rPr>
        <w:t xml:space="preserve">  </w:t>
      </w:r>
      <w:r w:rsidR="00227D5D">
        <w:rPr>
          <w:rFonts w:ascii="Times New Roman" w:hAnsi="Times New Roman"/>
          <w:sz w:val="28"/>
          <w:szCs w:val="28"/>
        </w:rPr>
        <w:t>Комитету городского хозяйства допущен рост</w:t>
      </w:r>
      <w:r w:rsidR="008D2BAB" w:rsidRPr="0079367C">
        <w:rPr>
          <w:rFonts w:ascii="Times New Roman" w:hAnsi="Times New Roman"/>
          <w:sz w:val="28"/>
          <w:szCs w:val="28"/>
        </w:rPr>
        <w:t xml:space="preserve"> дебиторской задо</w:t>
      </w:r>
      <w:r w:rsidR="008D2BAB" w:rsidRPr="0079367C">
        <w:rPr>
          <w:rFonts w:ascii="Times New Roman" w:hAnsi="Times New Roman"/>
          <w:sz w:val="28"/>
          <w:szCs w:val="28"/>
        </w:rPr>
        <w:t>л</w:t>
      </w:r>
      <w:r w:rsidR="008D2BAB" w:rsidRPr="0079367C">
        <w:rPr>
          <w:rFonts w:ascii="Times New Roman" w:hAnsi="Times New Roman"/>
          <w:sz w:val="28"/>
          <w:szCs w:val="28"/>
        </w:rPr>
        <w:t>женности</w:t>
      </w:r>
      <w:r w:rsidR="00227D5D">
        <w:rPr>
          <w:rFonts w:ascii="Times New Roman" w:hAnsi="Times New Roman"/>
          <w:sz w:val="28"/>
          <w:szCs w:val="28"/>
        </w:rPr>
        <w:t xml:space="preserve">, </w:t>
      </w:r>
      <w:r w:rsidR="005A74A9" w:rsidRPr="0079367C">
        <w:rPr>
          <w:rFonts w:ascii="Times New Roman" w:hAnsi="Times New Roman"/>
          <w:sz w:val="28"/>
          <w:szCs w:val="28"/>
        </w:rPr>
        <w:t xml:space="preserve">по Комитету </w:t>
      </w:r>
      <w:r w:rsidR="00227D5D">
        <w:rPr>
          <w:rFonts w:ascii="Times New Roman" w:hAnsi="Times New Roman"/>
          <w:sz w:val="28"/>
          <w:szCs w:val="28"/>
        </w:rPr>
        <w:t>финансов</w:t>
      </w:r>
      <w:r w:rsidR="005A74A9" w:rsidRPr="0079367C">
        <w:rPr>
          <w:rFonts w:ascii="Times New Roman" w:hAnsi="Times New Roman"/>
          <w:sz w:val="28"/>
          <w:szCs w:val="28"/>
        </w:rPr>
        <w:t xml:space="preserve"> снижение </w:t>
      </w:r>
      <w:r w:rsidR="00227D5D">
        <w:rPr>
          <w:rFonts w:ascii="Times New Roman" w:hAnsi="Times New Roman"/>
          <w:sz w:val="28"/>
          <w:szCs w:val="28"/>
        </w:rPr>
        <w:t xml:space="preserve">дебиторской задолженности </w:t>
      </w:r>
      <w:r w:rsidR="005A74A9" w:rsidRPr="0079367C">
        <w:rPr>
          <w:rFonts w:ascii="Times New Roman" w:hAnsi="Times New Roman"/>
          <w:sz w:val="28"/>
          <w:szCs w:val="28"/>
        </w:rPr>
        <w:t>с</w:t>
      </w:r>
      <w:r w:rsidR="005A74A9" w:rsidRPr="0079367C">
        <w:rPr>
          <w:rFonts w:ascii="Times New Roman" w:hAnsi="Times New Roman"/>
          <w:sz w:val="28"/>
          <w:szCs w:val="28"/>
        </w:rPr>
        <w:t>о</w:t>
      </w:r>
      <w:r w:rsidR="005A74A9" w:rsidRPr="0079367C">
        <w:rPr>
          <w:rFonts w:ascii="Times New Roman" w:hAnsi="Times New Roman"/>
          <w:sz w:val="28"/>
          <w:szCs w:val="28"/>
        </w:rPr>
        <w:t xml:space="preserve">ставило </w:t>
      </w:r>
      <w:r w:rsidR="00227D5D">
        <w:rPr>
          <w:rFonts w:ascii="Times New Roman" w:hAnsi="Times New Roman"/>
          <w:sz w:val="28"/>
          <w:szCs w:val="28"/>
        </w:rPr>
        <w:t>68,3</w:t>
      </w:r>
      <w:r w:rsidR="0079367C" w:rsidRPr="0079367C">
        <w:rPr>
          <w:rFonts w:ascii="Times New Roman" w:hAnsi="Times New Roman"/>
          <w:sz w:val="28"/>
          <w:szCs w:val="28"/>
        </w:rPr>
        <w:t xml:space="preserve">%. </w:t>
      </w:r>
      <w:r w:rsidRPr="0079367C">
        <w:rPr>
          <w:rFonts w:ascii="Times New Roman" w:hAnsi="Times New Roman"/>
          <w:sz w:val="28"/>
          <w:szCs w:val="28"/>
        </w:rPr>
        <w:t xml:space="preserve"> </w:t>
      </w:r>
    </w:p>
    <w:p w:rsidR="00687614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2) Наличие у ГРБС и подведомственных ему муниципальных учрежд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79367C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У всех ГРБС просроченная кредиторская задолженность отсутствует.</w:t>
      </w:r>
    </w:p>
    <w:p w:rsidR="00687614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3) Соблюдение Порядка санкционирования оплаты денежных обяз</w:t>
      </w:r>
      <w:r w:rsidRPr="0079367C">
        <w:rPr>
          <w:rFonts w:ascii="Times New Roman" w:hAnsi="Times New Roman"/>
          <w:sz w:val="28"/>
          <w:szCs w:val="28"/>
        </w:rPr>
        <w:t>а</w:t>
      </w:r>
      <w:r w:rsidRPr="0079367C">
        <w:rPr>
          <w:rFonts w:ascii="Times New Roman" w:hAnsi="Times New Roman"/>
          <w:sz w:val="28"/>
          <w:szCs w:val="28"/>
        </w:rPr>
        <w:t>тельств ГРБС. Доля отклоненных платежных поручений по отношению к общему объёму.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C2105B" w:rsidRPr="006F056F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056F">
        <w:rPr>
          <w:rFonts w:ascii="Times New Roman" w:hAnsi="Times New Roman"/>
          <w:sz w:val="28"/>
          <w:szCs w:val="28"/>
        </w:rPr>
        <w:t xml:space="preserve">У </w:t>
      </w:r>
      <w:r w:rsidR="00C2105B" w:rsidRPr="006F056F">
        <w:rPr>
          <w:rFonts w:ascii="Times New Roman" w:hAnsi="Times New Roman"/>
          <w:sz w:val="28"/>
          <w:szCs w:val="28"/>
        </w:rPr>
        <w:t>всех</w:t>
      </w:r>
      <w:r w:rsidRPr="006F056F">
        <w:rPr>
          <w:rFonts w:ascii="Times New Roman" w:hAnsi="Times New Roman"/>
          <w:sz w:val="28"/>
          <w:szCs w:val="28"/>
        </w:rPr>
        <w:t xml:space="preserve"> </w:t>
      </w:r>
      <w:r w:rsidR="006F056F" w:rsidRPr="006F056F">
        <w:rPr>
          <w:rFonts w:ascii="Times New Roman" w:hAnsi="Times New Roman"/>
          <w:sz w:val="28"/>
          <w:szCs w:val="28"/>
        </w:rPr>
        <w:t xml:space="preserve">4 </w:t>
      </w:r>
      <w:r w:rsidRPr="006F056F">
        <w:rPr>
          <w:rFonts w:ascii="Times New Roman" w:hAnsi="Times New Roman"/>
          <w:sz w:val="28"/>
          <w:szCs w:val="28"/>
        </w:rPr>
        <w:t xml:space="preserve">ГРБС </w:t>
      </w:r>
      <w:r w:rsidR="006F056F" w:rsidRPr="006F056F">
        <w:rPr>
          <w:rFonts w:ascii="Times New Roman" w:hAnsi="Times New Roman"/>
          <w:sz w:val="28"/>
          <w:szCs w:val="28"/>
        </w:rPr>
        <w:t>наименьший процент отклоненных платежных поручений по отношению к общему объём</w:t>
      </w:r>
      <w:r w:rsidR="006F056F">
        <w:rPr>
          <w:rFonts w:ascii="Times New Roman" w:hAnsi="Times New Roman"/>
          <w:sz w:val="28"/>
          <w:szCs w:val="28"/>
        </w:rPr>
        <w:t>у</w:t>
      </w:r>
      <w:r w:rsidR="006F056F" w:rsidRPr="006F056F">
        <w:rPr>
          <w:rFonts w:ascii="Times New Roman" w:hAnsi="Times New Roman"/>
          <w:sz w:val="28"/>
          <w:szCs w:val="28"/>
        </w:rPr>
        <w:t xml:space="preserve"> и их деятельность по данному показателю оценена 5.  У Комитета образования </w:t>
      </w:r>
      <w:r w:rsidRPr="006F056F">
        <w:rPr>
          <w:rFonts w:ascii="Times New Roman" w:hAnsi="Times New Roman"/>
          <w:sz w:val="28"/>
          <w:szCs w:val="28"/>
        </w:rPr>
        <w:t xml:space="preserve">указанная доля  превысила </w:t>
      </w:r>
      <w:r w:rsidR="006F056F" w:rsidRPr="006F056F">
        <w:rPr>
          <w:rFonts w:ascii="Times New Roman" w:hAnsi="Times New Roman"/>
          <w:sz w:val="28"/>
          <w:szCs w:val="28"/>
        </w:rPr>
        <w:t>10</w:t>
      </w:r>
      <w:r w:rsidRPr="006F056F">
        <w:rPr>
          <w:rFonts w:ascii="Times New Roman" w:hAnsi="Times New Roman"/>
          <w:sz w:val="28"/>
          <w:szCs w:val="28"/>
        </w:rPr>
        <w:t>%</w:t>
      </w:r>
      <w:r w:rsidR="0063032C" w:rsidRPr="006F056F">
        <w:rPr>
          <w:rFonts w:ascii="Times New Roman" w:hAnsi="Times New Roman"/>
          <w:sz w:val="28"/>
          <w:szCs w:val="28"/>
        </w:rPr>
        <w:t xml:space="preserve">  и их д</w:t>
      </w:r>
      <w:r w:rsidR="0063032C" w:rsidRPr="006F056F">
        <w:rPr>
          <w:rFonts w:ascii="Times New Roman" w:hAnsi="Times New Roman"/>
          <w:sz w:val="28"/>
          <w:szCs w:val="28"/>
        </w:rPr>
        <w:t>е</w:t>
      </w:r>
      <w:r w:rsidR="0063032C" w:rsidRPr="006F056F">
        <w:rPr>
          <w:rFonts w:ascii="Times New Roman" w:hAnsi="Times New Roman"/>
          <w:sz w:val="28"/>
          <w:szCs w:val="28"/>
        </w:rPr>
        <w:t xml:space="preserve">ятельность по данному показателю оценена </w:t>
      </w:r>
      <w:r w:rsidR="006F056F" w:rsidRPr="006F056F">
        <w:rPr>
          <w:rFonts w:ascii="Times New Roman" w:hAnsi="Times New Roman"/>
          <w:sz w:val="28"/>
          <w:szCs w:val="28"/>
        </w:rPr>
        <w:t>4</w:t>
      </w:r>
      <w:r w:rsidR="00C2105B" w:rsidRPr="006F056F">
        <w:rPr>
          <w:rFonts w:ascii="Times New Roman" w:hAnsi="Times New Roman"/>
          <w:sz w:val="28"/>
          <w:szCs w:val="28"/>
        </w:rPr>
        <w:t>.</w:t>
      </w:r>
      <w:r w:rsidR="00CC759A" w:rsidRPr="006F056F">
        <w:rPr>
          <w:rFonts w:ascii="Times New Roman" w:hAnsi="Times New Roman"/>
          <w:sz w:val="28"/>
          <w:szCs w:val="28"/>
        </w:rPr>
        <w:t xml:space="preserve"> </w:t>
      </w:r>
    </w:p>
    <w:p w:rsidR="00687614" w:rsidRPr="0079367C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4) Ежемесячное изменение кредиторской  задолженности ГРБС и подв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>домственных ему муниципальных учреждений в течение отчетного периода.</w:t>
      </w:r>
    </w:p>
    <w:p w:rsidR="00687614" w:rsidRPr="0079367C" w:rsidRDefault="001F384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У всех ГРБС прирост кредиторской задолженности ни в одном месяце отчетного периода текущего финансового года не превышает 1/12 годовых плановых расходов.</w:t>
      </w:r>
    </w:p>
    <w:p w:rsidR="00C62842" w:rsidRPr="0063032C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C62842" w:rsidRPr="0094199F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Представление в составе годовой бюджетной отчетности  сведений о мерах по повышению   эффективности  расходования   бюджетных средств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 </w:t>
      </w:r>
    </w:p>
    <w:p w:rsidR="00C62842" w:rsidRPr="00A46777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A46777" w:rsidRPr="00A46777" w:rsidRDefault="00A4677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представлены сведения </w:t>
      </w:r>
      <w:r w:rsidRPr="0094199F">
        <w:rPr>
          <w:rFonts w:ascii="Times New Roman" w:hAnsi="Times New Roman"/>
          <w:sz w:val="28"/>
          <w:szCs w:val="28"/>
        </w:rPr>
        <w:t>о мерах по повышению   эффекти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ности  р</w:t>
      </w:r>
      <w:r w:rsidR="00DD7268">
        <w:rPr>
          <w:rFonts w:ascii="Times New Roman" w:hAnsi="Times New Roman"/>
          <w:sz w:val="28"/>
          <w:szCs w:val="28"/>
        </w:rPr>
        <w:t>асходования   бюджетных средств</w:t>
      </w:r>
      <w:r w:rsidRPr="0094199F">
        <w:rPr>
          <w:rFonts w:ascii="Times New Roman" w:hAnsi="Times New Roman"/>
          <w:sz w:val="28"/>
          <w:szCs w:val="28"/>
        </w:rPr>
        <w:t xml:space="preserve">.  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Соблюдение сроков представления ГРБС годовой бюджетной отче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ности.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При оценке данного показателя оценивается  соблюдения  сроков </w:t>
      </w:r>
      <w:r w:rsidRPr="008F3C46">
        <w:rPr>
          <w:rFonts w:ascii="Times New Roman" w:hAnsi="Times New Roman"/>
          <w:sz w:val="28"/>
          <w:szCs w:val="28"/>
        </w:rPr>
        <w:t>пре</w:t>
      </w:r>
      <w:r w:rsidRPr="008F3C46">
        <w:rPr>
          <w:rFonts w:ascii="Times New Roman" w:hAnsi="Times New Roman"/>
          <w:sz w:val="28"/>
          <w:szCs w:val="28"/>
        </w:rPr>
        <w:t>д</w:t>
      </w:r>
      <w:r w:rsidRPr="008F3C4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8F3C46">
        <w:rPr>
          <w:rFonts w:ascii="Times New Roman" w:hAnsi="Times New Roman"/>
          <w:sz w:val="28"/>
          <w:szCs w:val="28"/>
        </w:rPr>
        <w:t>в</w:t>
      </w:r>
      <w:r w:rsidRPr="008F3C4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8F3C4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8F3C46">
        <w:rPr>
          <w:rFonts w:ascii="Times New Roman" w:hAnsi="Times New Roman"/>
          <w:sz w:val="28"/>
          <w:szCs w:val="28"/>
        </w:rPr>
        <w:t>Волосовского мун</w:t>
      </w:r>
      <w:r w:rsidR="00556995" w:rsidRPr="008F3C46">
        <w:rPr>
          <w:rFonts w:ascii="Times New Roman" w:hAnsi="Times New Roman"/>
          <w:sz w:val="28"/>
          <w:szCs w:val="28"/>
        </w:rPr>
        <w:t>и</w:t>
      </w:r>
      <w:r w:rsidR="00556995" w:rsidRPr="008F3C4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8F3C4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8F3C46">
        <w:rPr>
          <w:rFonts w:ascii="Times New Roman" w:hAnsi="Times New Roman"/>
          <w:sz w:val="28"/>
          <w:szCs w:val="28"/>
        </w:rPr>
        <w:t xml:space="preserve"> </w:t>
      </w:r>
      <w:r w:rsidR="00AB1B6B">
        <w:rPr>
          <w:rFonts w:ascii="Times New Roman" w:hAnsi="Times New Roman"/>
          <w:sz w:val="28"/>
          <w:szCs w:val="28"/>
        </w:rPr>
        <w:t>56</w:t>
      </w:r>
      <w:r w:rsidR="00A46777" w:rsidRPr="008F3C46">
        <w:rPr>
          <w:rFonts w:ascii="Times New Roman" w:hAnsi="Times New Roman"/>
          <w:sz w:val="28"/>
          <w:szCs w:val="28"/>
        </w:rPr>
        <w:t xml:space="preserve"> от </w:t>
      </w:r>
      <w:r w:rsidR="00AB1B6B">
        <w:rPr>
          <w:rFonts w:ascii="Times New Roman" w:hAnsi="Times New Roman"/>
          <w:sz w:val="28"/>
          <w:szCs w:val="28"/>
        </w:rPr>
        <w:t>02</w:t>
      </w:r>
      <w:r w:rsidR="00A46777" w:rsidRPr="008F3C46">
        <w:rPr>
          <w:rFonts w:ascii="Times New Roman" w:hAnsi="Times New Roman"/>
          <w:sz w:val="28"/>
          <w:szCs w:val="28"/>
        </w:rPr>
        <w:t>.12.201</w:t>
      </w:r>
      <w:r w:rsidR="00AB1B6B">
        <w:rPr>
          <w:rFonts w:ascii="Times New Roman" w:hAnsi="Times New Roman"/>
          <w:sz w:val="28"/>
          <w:szCs w:val="28"/>
        </w:rPr>
        <w:t>9</w:t>
      </w:r>
      <w:r w:rsidR="00A46777" w:rsidRPr="008F3C46">
        <w:rPr>
          <w:rFonts w:ascii="Times New Roman" w:hAnsi="Times New Roman"/>
          <w:sz w:val="28"/>
          <w:szCs w:val="28"/>
        </w:rPr>
        <w:t xml:space="preserve"> г.</w:t>
      </w:r>
    </w:p>
    <w:p w:rsidR="009F2B54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У 4 ГРБС отчетность предоставлена в установленные сроки, у Комитета образования отчетность предоставлена с нарушением установленных сроков</w:t>
      </w:r>
      <w:r>
        <w:rPr>
          <w:rFonts w:ascii="Times New Roman" w:hAnsi="Times New Roman"/>
          <w:sz w:val="28"/>
          <w:szCs w:val="28"/>
        </w:rPr>
        <w:t>.</w:t>
      </w:r>
    </w:p>
    <w:p w:rsidR="00C62842" w:rsidRPr="008F3C4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7E53" w:rsidRPr="008F3C46">
        <w:rPr>
          <w:rFonts w:ascii="Times New Roman" w:hAnsi="Times New Roman"/>
          <w:sz w:val="28"/>
          <w:szCs w:val="28"/>
        </w:rPr>
        <w:t>3) Соответствие предоставленной в комитет финансов бюджетной о</w:t>
      </w:r>
      <w:r w:rsidR="003F7E53" w:rsidRPr="008F3C46">
        <w:rPr>
          <w:rFonts w:ascii="Times New Roman" w:hAnsi="Times New Roman"/>
          <w:sz w:val="28"/>
          <w:szCs w:val="28"/>
        </w:rPr>
        <w:t>т</w:t>
      </w:r>
      <w:r w:rsidR="003F7E53" w:rsidRPr="008F3C46">
        <w:rPr>
          <w:rFonts w:ascii="Times New Roman" w:hAnsi="Times New Roman"/>
          <w:sz w:val="28"/>
          <w:szCs w:val="28"/>
        </w:rPr>
        <w:t xml:space="preserve">четности установленным требованиям       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8F3C46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lastRenderedPageBreak/>
        <w:t>При оценке данного показателя  оценивалось качество  предоставленной бюджетной отчетности  за 201</w:t>
      </w:r>
      <w:r w:rsidR="000110EB">
        <w:rPr>
          <w:rFonts w:ascii="Times New Roman" w:hAnsi="Times New Roman"/>
          <w:sz w:val="28"/>
          <w:szCs w:val="28"/>
        </w:rPr>
        <w:t>9</w:t>
      </w:r>
      <w:r w:rsidRPr="008F3C46">
        <w:rPr>
          <w:rFonts w:ascii="Times New Roman" w:hAnsi="Times New Roman"/>
          <w:sz w:val="28"/>
          <w:szCs w:val="28"/>
        </w:rPr>
        <w:t xml:space="preserve"> год. </w:t>
      </w:r>
    </w:p>
    <w:p w:rsidR="00BD405F" w:rsidRPr="008F3C46" w:rsidRDefault="00EB003E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F3C46">
        <w:rPr>
          <w:rFonts w:eastAsiaTheme="minorHAnsi"/>
          <w:sz w:val="28"/>
          <w:szCs w:val="28"/>
          <w:lang w:eastAsia="en-US"/>
        </w:rPr>
        <w:t>У Комитета финансо</w:t>
      </w:r>
      <w:r w:rsidR="000110EB">
        <w:rPr>
          <w:rFonts w:eastAsiaTheme="minorHAnsi"/>
          <w:sz w:val="28"/>
          <w:szCs w:val="28"/>
          <w:lang w:eastAsia="en-US"/>
        </w:rPr>
        <w:t>в,</w:t>
      </w:r>
      <w:r w:rsidRPr="008F3C46">
        <w:rPr>
          <w:rFonts w:eastAsiaTheme="minorHAnsi"/>
          <w:sz w:val="28"/>
          <w:szCs w:val="28"/>
          <w:lang w:eastAsia="en-US"/>
        </w:rPr>
        <w:t xml:space="preserve"> КУМИ</w:t>
      </w:r>
      <w:r w:rsidR="000110EB">
        <w:rPr>
          <w:rFonts w:eastAsiaTheme="minorHAnsi"/>
          <w:sz w:val="28"/>
          <w:szCs w:val="28"/>
          <w:lang w:eastAsia="en-US"/>
        </w:rPr>
        <w:t>, Администрации МО, Комитета городск</w:t>
      </w:r>
      <w:r w:rsidR="000110EB">
        <w:rPr>
          <w:rFonts w:eastAsiaTheme="minorHAnsi"/>
          <w:sz w:val="28"/>
          <w:szCs w:val="28"/>
          <w:lang w:eastAsia="en-US"/>
        </w:rPr>
        <w:t>о</w:t>
      </w:r>
      <w:r w:rsidR="000110EB">
        <w:rPr>
          <w:rFonts w:eastAsiaTheme="minorHAnsi"/>
          <w:sz w:val="28"/>
          <w:szCs w:val="28"/>
          <w:lang w:eastAsia="en-US"/>
        </w:rPr>
        <w:t>го хозяйства</w:t>
      </w:r>
      <w:r w:rsidRPr="008F3C46">
        <w:rPr>
          <w:rFonts w:eastAsiaTheme="minorHAnsi"/>
          <w:sz w:val="28"/>
          <w:szCs w:val="28"/>
          <w:lang w:eastAsia="en-US"/>
        </w:rPr>
        <w:t xml:space="preserve"> отчетность соответствует требованиям.</w:t>
      </w:r>
    </w:p>
    <w:p w:rsidR="00356ECE" w:rsidRPr="008F3C46" w:rsidRDefault="00BD405F" w:rsidP="00CC759A">
      <w:pPr>
        <w:pStyle w:val="a3"/>
        <w:spacing w:line="264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C46">
        <w:rPr>
          <w:rFonts w:ascii="Times New Roman" w:hAnsi="Times New Roman"/>
          <w:sz w:val="28"/>
          <w:szCs w:val="28"/>
        </w:rPr>
        <w:t>Н</w:t>
      </w:r>
      <w:r w:rsidR="00C2105B" w:rsidRPr="008F3C46">
        <w:rPr>
          <w:rFonts w:ascii="Times New Roman" w:hAnsi="Times New Roman"/>
          <w:sz w:val="28"/>
          <w:szCs w:val="28"/>
        </w:rPr>
        <w:t xml:space="preserve">а доработку отчетов и корректировки данных </w:t>
      </w:r>
      <w:r w:rsidR="000110EB">
        <w:rPr>
          <w:rFonts w:ascii="Times New Roman" w:hAnsi="Times New Roman"/>
          <w:sz w:val="28"/>
          <w:szCs w:val="28"/>
        </w:rPr>
        <w:t>по Комитету образов</w:t>
      </w:r>
      <w:r w:rsidR="000110EB">
        <w:rPr>
          <w:rFonts w:ascii="Times New Roman" w:hAnsi="Times New Roman"/>
          <w:sz w:val="28"/>
          <w:szCs w:val="28"/>
        </w:rPr>
        <w:t>а</w:t>
      </w:r>
      <w:r w:rsidR="000110EB">
        <w:rPr>
          <w:rFonts w:ascii="Times New Roman" w:hAnsi="Times New Roman"/>
          <w:sz w:val="28"/>
          <w:szCs w:val="28"/>
        </w:rPr>
        <w:t>ния</w:t>
      </w:r>
      <w:r w:rsidR="00C2105B" w:rsidRPr="008F3C46">
        <w:rPr>
          <w:rFonts w:ascii="Times New Roman" w:hAnsi="Times New Roman"/>
          <w:sz w:val="28"/>
          <w:szCs w:val="28"/>
        </w:rPr>
        <w:t xml:space="preserve"> потребовалось дополнительное время, поэтому  ГРБС </w:t>
      </w:r>
      <w:proofErr w:type="gramStart"/>
      <w:r w:rsidR="00C2105B" w:rsidRPr="008F3C46">
        <w:rPr>
          <w:rFonts w:ascii="Times New Roman" w:hAnsi="Times New Roman"/>
          <w:sz w:val="28"/>
          <w:szCs w:val="28"/>
        </w:rPr>
        <w:t>оценен</w:t>
      </w:r>
      <w:proofErr w:type="gramEnd"/>
      <w:r w:rsidR="00C2105B" w:rsidRPr="008F3C46">
        <w:rPr>
          <w:rFonts w:ascii="Times New Roman" w:hAnsi="Times New Roman"/>
          <w:sz w:val="28"/>
          <w:szCs w:val="28"/>
        </w:rPr>
        <w:t xml:space="preserve">  с  0 р</w:t>
      </w:r>
      <w:r w:rsidR="00C2105B" w:rsidRPr="008F3C46">
        <w:rPr>
          <w:rFonts w:ascii="Times New Roman" w:hAnsi="Times New Roman"/>
          <w:sz w:val="28"/>
          <w:szCs w:val="28"/>
        </w:rPr>
        <w:t>е</w:t>
      </w:r>
      <w:r w:rsidR="00C2105B" w:rsidRPr="008F3C46">
        <w:rPr>
          <w:rFonts w:ascii="Times New Roman" w:hAnsi="Times New Roman"/>
          <w:sz w:val="28"/>
          <w:szCs w:val="28"/>
        </w:rPr>
        <w:t>зультатом</w:t>
      </w:r>
      <w:r w:rsidR="00CC759A">
        <w:rPr>
          <w:rFonts w:ascii="Times New Roman" w:hAnsi="Times New Roman"/>
          <w:sz w:val="28"/>
          <w:szCs w:val="28"/>
        </w:rPr>
        <w:t>.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3C46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1)  Наличие недостач и хищений денежных средств и  материальных ценностей.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2E34B2" w:rsidRPr="008F3C46" w:rsidRDefault="002E34B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 xml:space="preserve">У </w:t>
      </w:r>
      <w:r w:rsidR="008F3C46" w:rsidRPr="008F3C46">
        <w:rPr>
          <w:rFonts w:ascii="Times New Roman" w:hAnsi="Times New Roman"/>
          <w:sz w:val="28"/>
          <w:szCs w:val="28"/>
        </w:rPr>
        <w:t xml:space="preserve">4 </w:t>
      </w:r>
      <w:r w:rsidRPr="008F3C46">
        <w:rPr>
          <w:rFonts w:ascii="Times New Roman" w:hAnsi="Times New Roman"/>
          <w:sz w:val="28"/>
          <w:szCs w:val="28"/>
        </w:rPr>
        <w:t xml:space="preserve"> ГРБС </w:t>
      </w:r>
      <w:r w:rsidR="00CA3E83" w:rsidRPr="008F3C46">
        <w:rPr>
          <w:rFonts w:ascii="Times New Roman" w:hAnsi="Times New Roman"/>
          <w:sz w:val="28"/>
          <w:szCs w:val="28"/>
        </w:rPr>
        <w:t xml:space="preserve">данный показатель равен </w:t>
      </w:r>
      <w:r w:rsidR="008E2FC4" w:rsidRPr="008F3C46">
        <w:rPr>
          <w:rFonts w:ascii="Times New Roman" w:hAnsi="Times New Roman"/>
          <w:sz w:val="28"/>
          <w:szCs w:val="28"/>
        </w:rPr>
        <w:t>5</w:t>
      </w:r>
      <w:r w:rsidR="008F3C46" w:rsidRPr="008F3C46">
        <w:rPr>
          <w:rFonts w:ascii="Times New Roman" w:hAnsi="Times New Roman"/>
          <w:sz w:val="28"/>
          <w:szCs w:val="28"/>
        </w:rPr>
        <w:t>, у К</w:t>
      </w:r>
      <w:r w:rsidR="000110EB">
        <w:rPr>
          <w:rFonts w:ascii="Times New Roman" w:hAnsi="Times New Roman"/>
          <w:sz w:val="28"/>
          <w:szCs w:val="28"/>
        </w:rPr>
        <w:t>омитета образования</w:t>
      </w:r>
      <w:r w:rsidR="008F3C46" w:rsidRPr="008F3C46">
        <w:rPr>
          <w:rFonts w:ascii="Times New Roman" w:hAnsi="Times New Roman"/>
          <w:sz w:val="28"/>
          <w:szCs w:val="28"/>
        </w:rPr>
        <w:t xml:space="preserve"> 4.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2) Осуществление мероприятий внутреннего контроля.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E2FC4" w:rsidRPr="008F3C46" w:rsidRDefault="000110EB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134C08" w:rsidRPr="008F3C46">
        <w:rPr>
          <w:rFonts w:ascii="Times New Roman" w:hAnsi="Times New Roman"/>
          <w:sz w:val="28"/>
          <w:szCs w:val="28"/>
        </w:rPr>
        <w:t xml:space="preserve">  </w:t>
      </w:r>
      <w:r w:rsidR="0094199F" w:rsidRPr="008F3C46">
        <w:rPr>
          <w:rFonts w:ascii="Times New Roman" w:hAnsi="Times New Roman"/>
          <w:sz w:val="28"/>
          <w:szCs w:val="28"/>
        </w:rPr>
        <w:t xml:space="preserve">ГРБС </w:t>
      </w:r>
      <w:r>
        <w:rPr>
          <w:rFonts w:ascii="Times New Roman" w:hAnsi="Times New Roman"/>
          <w:sz w:val="28"/>
          <w:szCs w:val="28"/>
        </w:rPr>
        <w:t xml:space="preserve">предоставили таблицу </w:t>
      </w:r>
      <w:r w:rsidR="0094199F" w:rsidRPr="008F3C46">
        <w:rPr>
          <w:rFonts w:ascii="Times New Roman" w:hAnsi="Times New Roman"/>
          <w:sz w:val="28"/>
          <w:szCs w:val="28"/>
        </w:rPr>
        <w:t xml:space="preserve"> «Сведения о результатах мероприятий внутреннего контроля» по форме, утвержденной приказом Министерства финансов РФ.</w:t>
      </w:r>
    </w:p>
    <w:p w:rsidR="009A1231" w:rsidRPr="008F3C46" w:rsidRDefault="009A1231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3) Проведение инвентаризаций.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F40713" w:rsidRPr="008F3C46" w:rsidRDefault="00983105" w:rsidP="00CC759A">
      <w:pPr>
        <w:pStyle w:val="a3"/>
        <w:spacing w:line="288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3C46">
        <w:rPr>
          <w:rFonts w:ascii="Times New Roman" w:eastAsia="Calibri" w:hAnsi="Times New Roman"/>
          <w:sz w:val="28"/>
          <w:szCs w:val="28"/>
        </w:rPr>
        <w:t xml:space="preserve">У </w:t>
      </w:r>
      <w:r w:rsidR="00657BD7" w:rsidRPr="008F3C46">
        <w:rPr>
          <w:rFonts w:ascii="Times New Roman" w:eastAsia="Calibri" w:hAnsi="Times New Roman"/>
          <w:sz w:val="28"/>
          <w:szCs w:val="28"/>
        </w:rPr>
        <w:t>5</w:t>
      </w:r>
      <w:r w:rsidRPr="008F3C46">
        <w:rPr>
          <w:rFonts w:ascii="Times New Roman" w:eastAsia="Calibri" w:hAnsi="Times New Roman"/>
          <w:sz w:val="28"/>
          <w:szCs w:val="28"/>
        </w:rPr>
        <w:t xml:space="preserve"> ГРБС таблица «Сведения о проведении инвентаризаций»   соотве</w:t>
      </w:r>
      <w:r w:rsidRPr="008F3C46">
        <w:rPr>
          <w:rFonts w:ascii="Times New Roman" w:eastAsia="Calibri" w:hAnsi="Times New Roman"/>
          <w:sz w:val="28"/>
          <w:szCs w:val="28"/>
        </w:rPr>
        <w:t>т</w:t>
      </w:r>
      <w:r w:rsidRPr="008F3C46">
        <w:rPr>
          <w:rFonts w:ascii="Times New Roman" w:eastAsia="Calibri" w:hAnsi="Times New Roman"/>
          <w:sz w:val="28"/>
          <w:szCs w:val="28"/>
        </w:rPr>
        <w:t>ствует требованиям.</w:t>
      </w:r>
    </w:p>
    <w:p w:rsidR="00657BD7" w:rsidRPr="008F3C46" w:rsidRDefault="00657BD7" w:rsidP="00CC759A">
      <w:pPr>
        <w:spacing w:line="288" w:lineRule="auto"/>
        <w:ind w:firstLine="709"/>
        <w:rPr>
          <w:b/>
          <w:sz w:val="28"/>
          <w:szCs w:val="28"/>
        </w:rPr>
      </w:pPr>
      <w:bookmarkStart w:id="0" w:name="_Toc261889901"/>
    </w:p>
    <w:p w:rsidR="00657BD7" w:rsidRDefault="00657BD7" w:rsidP="006B7C77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4AD18F" wp14:editId="53563FA7">
            <wp:extent cx="5210175" cy="50768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0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(Раздел 3,4 настоящего отчета).</w:t>
      </w:r>
    </w:p>
    <w:p w:rsidR="006B7C77" w:rsidRDefault="006B7C77" w:rsidP="00CC759A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D30D2B">
        <w:rPr>
          <w:sz w:val="28"/>
          <w:szCs w:val="28"/>
        </w:rPr>
        <w:t>сн</w:t>
      </w:r>
      <w:r w:rsidR="00D30D2B">
        <w:rPr>
          <w:sz w:val="28"/>
          <w:szCs w:val="28"/>
        </w:rPr>
        <w:t>и</w:t>
      </w:r>
      <w:r w:rsidR="00D30D2B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 составляет </w:t>
      </w:r>
      <w:r w:rsidR="00B4489C">
        <w:rPr>
          <w:rFonts w:eastAsia="Calibri"/>
          <w:sz w:val="28"/>
        </w:rPr>
        <w:t>68</w:t>
      </w:r>
      <w:r>
        <w:rPr>
          <w:rFonts w:eastAsia="Calibri"/>
          <w:sz w:val="28"/>
        </w:rPr>
        <w:t xml:space="preserve"> балл</w:t>
      </w:r>
      <w:r w:rsidR="00B4489C">
        <w:rPr>
          <w:rFonts w:eastAsia="Calibri"/>
          <w:sz w:val="28"/>
        </w:rPr>
        <w:t>ов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при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- 85 баллов</w:t>
      </w:r>
      <w:r>
        <w:rPr>
          <w:rFonts w:eastAsia="Calibri"/>
          <w:sz w:val="28"/>
        </w:rPr>
        <w:t>, что в целом объясняется низким качеством орга</w:t>
      </w:r>
      <w:r w:rsidRPr="00C2105B">
        <w:rPr>
          <w:rFonts w:eastAsia="Calibri"/>
          <w:sz w:val="28"/>
          <w:szCs w:val="28"/>
        </w:rPr>
        <w:t>низации бюджетного процесса в системе ГРБС, а также недостаточным использов</w:t>
      </w:r>
      <w:r w:rsidRPr="00C2105B">
        <w:rPr>
          <w:rFonts w:eastAsia="Calibri"/>
          <w:sz w:val="28"/>
          <w:szCs w:val="28"/>
        </w:rPr>
        <w:t>а</w:t>
      </w:r>
      <w:r w:rsidRPr="00C2105B">
        <w:rPr>
          <w:rFonts w:eastAsia="Calibri"/>
          <w:sz w:val="28"/>
          <w:szCs w:val="28"/>
        </w:rPr>
        <w:t>нием</w:t>
      </w:r>
      <w:r w:rsidR="00356ECE" w:rsidRPr="00C2105B">
        <w:rPr>
          <w:rFonts w:eastAsia="Calibri"/>
          <w:sz w:val="28"/>
          <w:szCs w:val="28"/>
        </w:rPr>
        <w:t xml:space="preserve">  инструментов для</w:t>
      </w:r>
      <w:r w:rsidRPr="00C2105B">
        <w:rPr>
          <w:rFonts w:eastAsia="Calibri"/>
          <w:sz w:val="28"/>
          <w:szCs w:val="28"/>
        </w:rPr>
        <w:t xml:space="preserve"> </w:t>
      </w:r>
      <w:r w:rsidR="00356ECE" w:rsidRPr="00C2105B">
        <w:rPr>
          <w:sz w:val="28"/>
          <w:szCs w:val="28"/>
        </w:rPr>
        <w:t>повышения качества планирования и исполнения расходов бюджета</w:t>
      </w:r>
      <w:r w:rsidRPr="00C2105B">
        <w:rPr>
          <w:rFonts w:eastAsia="Calibri"/>
          <w:sz w:val="28"/>
          <w:szCs w:val="28"/>
        </w:rPr>
        <w:t xml:space="preserve">. </w:t>
      </w:r>
    </w:p>
    <w:p w:rsidR="00E845E1" w:rsidRPr="004C61CF" w:rsidRDefault="00E845E1" w:rsidP="00CC759A">
      <w:pPr>
        <w:spacing w:line="288" w:lineRule="auto"/>
        <w:ind w:firstLine="709"/>
        <w:jc w:val="both"/>
        <w:rPr>
          <w:sz w:val="28"/>
          <w:szCs w:val="28"/>
        </w:rPr>
      </w:pPr>
      <w:r w:rsidRPr="004C61CF">
        <w:rPr>
          <w:rFonts w:eastAsia="Calibri"/>
          <w:sz w:val="28"/>
          <w:szCs w:val="28"/>
        </w:rPr>
        <w:t>По сравнению с 201</w:t>
      </w:r>
      <w:r w:rsidR="00B4489C" w:rsidRPr="004C61CF">
        <w:rPr>
          <w:rFonts w:eastAsia="Calibri"/>
          <w:sz w:val="28"/>
          <w:szCs w:val="28"/>
        </w:rPr>
        <w:t>8</w:t>
      </w:r>
      <w:r w:rsidRPr="004C61CF">
        <w:rPr>
          <w:rFonts w:eastAsia="Calibri"/>
          <w:sz w:val="28"/>
          <w:szCs w:val="28"/>
        </w:rPr>
        <w:t xml:space="preserve"> годом  средняя итоговая оценка  </w:t>
      </w:r>
      <w:r w:rsidR="00B4489C" w:rsidRPr="004C61CF">
        <w:rPr>
          <w:rFonts w:eastAsia="Calibri"/>
          <w:sz w:val="28"/>
          <w:szCs w:val="28"/>
        </w:rPr>
        <w:t>увеличилась</w:t>
      </w:r>
      <w:r w:rsidR="00A20E4C" w:rsidRPr="004C61CF">
        <w:rPr>
          <w:rFonts w:eastAsia="Calibri"/>
          <w:sz w:val="28"/>
          <w:szCs w:val="28"/>
        </w:rPr>
        <w:t xml:space="preserve"> на </w:t>
      </w:r>
      <w:r w:rsidR="004C61CF" w:rsidRPr="004C61CF">
        <w:rPr>
          <w:rFonts w:eastAsia="Calibri"/>
          <w:sz w:val="28"/>
          <w:szCs w:val="28"/>
        </w:rPr>
        <w:t>2</w:t>
      </w:r>
      <w:r w:rsidR="00A20E4C" w:rsidRPr="004C61CF">
        <w:rPr>
          <w:rFonts w:eastAsia="Calibri"/>
          <w:sz w:val="28"/>
          <w:szCs w:val="28"/>
        </w:rPr>
        <w:t>,5</w:t>
      </w:r>
      <w:r w:rsidRPr="004C61CF">
        <w:rPr>
          <w:rFonts w:eastAsia="Calibri"/>
          <w:sz w:val="28"/>
          <w:szCs w:val="28"/>
        </w:rPr>
        <w:t xml:space="preserve"> балла, что свидетельствует о </w:t>
      </w:r>
      <w:r w:rsidR="009F5436" w:rsidRPr="004C61CF">
        <w:rPr>
          <w:rFonts w:eastAsia="Calibri"/>
          <w:sz w:val="28"/>
          <w:szCs w:val="28"/>
        </w:rPr>
        <w:t xml:space="preserve"> </w:t>
      </w:r>
      <w:r w:rsidR="00A20E4C" w:rsidRPr="004C61CF">
        <w:rPr>
          <w:rFonts w:eastAsia="Calibri"/>
          <w:sz w:val="28"/>
          <w:szCs w:val="28"/>
        </w:rPr>
        <w:t>недостаточных мерах</w:t>
      </w:r>
      <w:r w:rsidR="009F5436" w:rsidRPr="004C61CF">
        <w:rPr>
          <w:rFonts w:eastAsia="Calibri"/>
          <w:sz w:val="28"/>
          <w:szCs w:val="28"/>
        </w:rPr>
        <w:t xml:space="preserve"> со стороны админ</w:t>
      </w:r>
      <w:r w:rsidR="009F5436" w:rsidRPr="004C61CF">
        <w:rPr>
          <w:rFonts w:eastAsia="Calibri"/>
          <w:sz w:val="28"/>
          <w:szCs w:val="28"/>
        </w:rPr>
        <w:t>и</w:t>
      </w:r>
      <w:r w:rsidR="009F5436" w:rsidRPr="004C61CF">
        <w:rPr>
          <w:rFonts w:eastAsia="Calibri"/>
          <w:sz w:val="28"/>
          <w:szCs w:val="28"/>
        </w:rPr>
        <w:lastRenderedPageBreak/>
        <w:t xml:space="preserve">страций ГРБС для </w:t>
      </w:r>
      <w:r w:rsidR="009F5436" w:rsidRPr="004C61CF">
        <w:rPr>
          <w:sz w:val="28"/>
          <w:szCs w:val="28"/>
        </w:rPr>
        <w:t>повышения качества планирования и исполнения расходов бюджета</w:t>
      </w:r>
      <w:r w:rsidRPr="004C61CF">
        <w:rPr>
          <w:rFonts w:eastAsia="Calibri"/>
          <w:sz w:val="28"/>
          <w:szCs w:val="28"/>
        </w:rPr>
        <w:t>.</w:t>
      </w:r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>Основными причинами  снижения качества финансового менеджме</w:t>
      </w:r>
      <w:r w:rsidRPr="004C61CF">
        <w:rPr>
          <w:sz w:val="28"/>
          <w:szCs w:val="28"/>
        </w:rPr>
        <w:t>н</w:t>
      </w:r>
      <w:r w:rsidRPr="004C61CF">
        <w:rPr>
          <w:sz w:val="28"/>
          <w:szCs w:val="28"/>
        </w:rPr>
        <w:t>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исполнению бюджета в части расходов: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</w:t>
      </w:r>
      <w:r w:rsidR="0057685F">
        <w:rPr>
          <w:sz w:val="28"/>
          <w:szCs w:val="28"/>
        </w:rPr>
        <w:t>ь</w:t>
      </w:r>
      <w:r>
        <w:rPr>
          <w:sz w:val="28"/>
          <w:szCs w:val="28"/>
        </w:rPr>
        <w:t xml:space="preserve"> распределения бюджетных ассигнований в течение отчетного года, большой объем бюджетных средств к исполнению остается на 4 квартал;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существенно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установленный критерий;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C737E">
        <w:rPr>
          <w:sz w:val="28"/>
          <w:szCs w:val="28"/>
        </w:rPr>
        <w:t>неисполненных бюджетных ассигнований на конец отчетного финансового года</w:t>
      </w:r>
      <w:r>
        <w:rPr>
          <w:sz w:val="28"/>
          <w:szCs w:val="28"/>
        </w:rPr>
        <w:t>;</w:t>
      </w:r>
    </w:p>
    <w:p w:rsidR="007C737E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="007C737E" w:rsidRPr="007C737E">
        <w:rPr>
          <w:sz w:val="28"/>
          <w:szCs w:val="28"/>
        </w:rPr>
        <w:t>план</w:t>
      </w:r>
      <w:r>
        <w:rPr>
          <w:sz w:val="28"/>
          <w:szCs w:val="28"/>
        </w:rPr>
        <w:t>овых</w:t>
      </w:r>
      <w:r w:rsidR="007C737E" w:rsidRPr="007C737E">
        <w:rPr>
          <w:sz w:val="28"/>
          <w:szCs w:val="28"/>
        </w:rPr>
        <w:t xml:space="preserve"> бюджетных  ассигнований</w:t>
      </w:r>
      <w:r>
        <w:rPr>
          <w:sz w:val="28"/>
          <w:szCs w:val="28"/>
        </w:rPr>
        <w:t xml:space="preserve">  в отчетном периоде.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CC759A">
      <w:pPr>
        <w:spacing w:line="288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57685F">
        <w:rPr>
          <w:i/>
          <w:sz w:val="28"/>
          <w:szCs w:val="28"/>
        </w:rPr>
        <w:t xml:space="preserve"> оценке состояния учета и отчетности</w:t>
      </w:r>
      <w:r>
        <w:rPr>
          <w:i/>
          <w:sz w:val="28"/>
          <w:szCs w:val="28"/>
        </w:rPr>
        <w:t>:</w:t>
      </w:r>
    </w:p>
    <w:p w:rsidR="0057685F" w:rsidRP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685F">
        <w:rPr>
          <w:sz w:val="28"/>
          <w:szCs w:val="28"/>
        </w:rPr>
        <w:t>оответствие предоставленной в комитет финансов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 установленным требованиям</w:t>
      </w:r>
      <w:r>
        <w:rPr>
          <w:sz w:val="28"/>
          <w:szCs w:val="28"/>
        </w:rPr>
        <w:t>.</w:t>
      </w:r>
      <w:r w:rsidRPr="0057685F">
        <w:rPr>
          <w:sz w:val="28"/>
          <w:szCs w:val="28"/>
        </w:rPr>
        <w:t xml:space="preserve">    </w:t>
      </w:r>
    </w:p>
    <w:p w:rsidR="0057685F" w:rsidRPr="00C2105B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направлениям: бюджетному планированию, исполнению бюджета  района, учету и отчетности, контролю в бюджетной сфере.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Для получения максимальных итоговых оценок качества финансового менеджмента комитет финансов администрации Волосовского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lastRenderedPageBreak/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направлениям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направленных на повышение результативности и эффективности использ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вания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201</w:t>
      </w:r>
      <w:r w:rsidR="00B4489C">
        <w:rPr>
          <w:b/>
          <w:sz w:val="22"/>
          <w:szCs w:val="22"/>
        </w:rPr>
        <w:t>9</w:t>
      </w:r>
      <w:r w:rsidR="00FB305A">
        <w:rPr>
          <w:b/>
          <w:sz w:val="22"/>
          <w:szCs w:val="22"/>
        </w:rPr>
        <w:t xml:space="preserve"> 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437"/>
        <w:gridCol w:w="1419"/>
        <w:gridCol w:w="1565"/>
        <w:gridCol w:w="1669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E87305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5A74A9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финансов администрации В</w:t>
            </w:r>
            <w:r w:rsidRPr="00E87305">
              <w:rPr>
                <w:color w:val="000000"/>
              </w:rPr>
              <w:t>о</w:t>
            </w:r>
            <w:r w:rsidRPr="00E87305">
              <w:rPr>
                <w:color w:val="000000"/>
              </w:rPr>
              <w:t>лосовского муниципального района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B4489C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E036E1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по управлению муниципал</w:t>
            </w:r>
            <w:r w:rsidRPr="00E87305">
              <w:rPr>
                <w:color w:val="000000"/>
              </w:rPr>
              <w:t>ь</w:t>
            </w:r>
            <w:r w:rsidRPr="00E87305">
              <w:rPr>
                <w:color w:val="000000"/>
              </w:rPr>
              <w:t>ным имуществом администрации мун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ципального образования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0160FB" w:rsidP="00E0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5A74A9">
            <w:pPr>
              <w:jc w:val="both"/>
              <w:rPr>
                <w:color w:val="000000"/>
              </w:rPr>
            </w:pPr>
            <w:r w:rsidRPr="00E87305">
              <w:rPr>
                <w:color w:val="000000"/>
              </w:rPr>
              <w:t>Комитет по городскому хозяйству адм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нистрации муниципального образования Волосовский муниципальный район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B4489C" w:rsidP="005A7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305" w:rsidRPr="00E87305" w:rsidRDefault="00E87305" w:rsidP="00760470">
            <w:pPr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E036E1">
            <w:pPr>
              <w:rPr>
                <w:color w:val="000000"/>
              </w:rPr>
            </w:pPr>
            <w:r w:rsidRPr="00E87305">
              <w:rPr>
                <w:color w:val="000000"/>
              </w:rPr>
              <w:t>Администрация муниципального обр</w:t>
            </w:r>
            <w:r w:rsidRPr="00E87305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>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B4489C" w:rsidP="00E87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3223A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7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4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B4489C" w:rsidP="00E0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305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305" w:rsidRPr="00E87305" w:rsidRDefault="00E87305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B4489C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  <w:p w:rsidR="00E87305" w:rsidRPr="00E87305" w:rsidRDefault="00E87305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11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  за 201</w:t>
      </w:r>
      <w:r w:rsidR="00B4489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 по сравнению с рейтингом 201</w:t>
      </w:r>
      <w:r w:rsidR="00B4489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9"/>
        <w:gridCol w:w="975"/>
        <w:gridCol w:w="1275"/>
        <w:gridCol w:w="1134"/>
        <w:gridCol w:w="993"/>
      </w:tblGrid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Наименование ГРБС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Рейтинговая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>говая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Суммарная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Сумма</w:t>
            </w:r>
            <w:r w:rsidRPr="002A17E0">
              <w:rPr>
                <w:color w:val="000000"/>
                <w:sz w:val="20"/>
                <w:szCs w:val="20"/>
              </w:rPr>
              <w:t>р</w:t>
            </w:r>
            <w:r w:rsidRPr="002A17E0">
              <w:rPr>
                <w:color w:val="000000"/>
                <w:sz w:val="20"/>
                <w:szCs w:val="20"/>
              </w:rPr>
              <w:t xml:space="preserve">ная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Макс</w:t>
            </w:r>
            <w:r w:rsidRPr="002A17E0">
              <w:rPr>
                <w:color w:val="000000"/>
                <w:sz w:val="20"/>
                <w:szCs w:val="20"/>
              </w:rPr>
              <w:t>и</w:t>
            </w:r>
            <w:r w:rsidRPr="002A17E0">
              <w:rPr>
                <w:color w:val="000000"/>
                <w:sz w:val="20"/>
                <w:szCs w:val="20"/>
              </w:rPr>
              <w:t>мальная</w:t>
            </w:r>
          </w:p>
        </w:tc>
      </w:tr>
      <w:tr w:rsidR="00CF7AF2" w:rsidRPr="002A17E0" w:rsidTr="00CF7AF2">
        <w:trPr>
          <w:trHeight w:val="395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17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</w:t>
            </w:r>
            <w:r w:rsidRPr="002A17E0">
              <w:rPr>
                <w:color w:val="000000"/>
                <w:sz w:val="20"/>
                <w:szCs w:val="20"/>
              </w:rPr>
              <w:t>а</w:t>
            </w:r>
            <w:r w:rsidRPr="002A17E0">
              <w:rPr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</w:tr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F84FA6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A17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F84FA6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A17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финансов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вого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 xml:space="preserve">сового  </w:t>
            </w:r>
          </w:p>
        </w:tc>
      </w:tr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</w:t>
            </w:r>
            <w:r w:rsidRPr="002A17E0">
              <w:rPr>
                <w:color w:val="000000"/>
                <w:sz w:val="20"/>
                <w:szCs w:val="20"/>
              </w:rPr>
              <w:t>е</w:t>
            </w:r>
            <w:r w:rsidRPr="002A17E0">
              <w:rPr>
                <w:color w:val="000000"/>
                <w:sz w:val="20"/>
                <w:szCs w:val="20"/>
              </w:rPr>
              <w:t>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</w:tr>
      <w:tr w:rsidR="00CF7AF2" w:rsidRPr="002A17E0" w:rsidTr="00CF7AF2">
        <w:trPr>
          <w:trHeight w:val="37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F84FA6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A17E0">
              <w:rPr>
                <w:color w:val="000000"/>
                <w:sz w:val="20"/>
                <w:szCs w:val="20"/>
              </w:rPr>
              <w:t xml:space="preserve"> 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F84FA6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A17E0">
              <w:rPr>
                <w:color w:val="000000"/>
                <w:sz w:val="20"/>
                <w:szCs w:val="20"/>
              </w:rPr>
              <w:t xml:space="preserve">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(MAX)     </w:t>
            </w:r>
          </w:p>
        </w:tc>
      </w:tr>
      <w:tr w:rsidR="00CF7AF2" w:rsidRPr="002A17E0" w:rsidTr="00CF7AF2">
        <w:trPr>
          <w:trHeight w:val="25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5</w:t>
            </w:r>
          </w:p>
        </w:tc>
      </w:tr>
      <w:tr w:rsidR="00CF7AF2" w:rsidRPr="002A17E0" w:rsidTr="00CF7AF2">
        <w:trPr>
          <w:trHeight w:val="21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по управлению муниципальным имущ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ством администрации муниципального образ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вания Волосовский м</w:t>
            </w:r>
            <w:r w:rsidRPr="00D30D2B">
              <w:rPr>
                <w:color w:val="000000"/>
              </w:rPr>
              <w:t>у</w:t>
            </w:r>
            <w:r w:rsidRPr="00D30D2B">
              <w:rPr>
                <w:color w:val="000000"/>
              </w:rPr>
              <w:t>ниципальный район Л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6E17B2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7</w:t>
            </w:r>
            <w:r w:rsidR="006E17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F7AF2" w:rsidRPr="002A17E0" w:rsidTr="00CF7AF2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финансов а</w:t>
            </w:r>
            <w:r w:rsidRPr="00D30D2B">
              <w:rPr>
                <w:color w:val="000000"/>
              </w:rPr>
              <w:t>д</w:t>
            </w:r>
            <w:r w:rsidRPr="00D30D2B">
              <w:rPr>
                <w:color w:val="000000"/>
              </w:rPr>
              <w:t>министрации Волосо</w:t>
            </w:r>
            <w:r w:rsidRPr="00D30D2B">
              <w:rPr>
                <w:color w:val="000000"/>
              </w:rPr>
              <w:t>в</w:t>
            </w:r>
            <w:r w:rsidRPr="00D30D2B">
              <w:rPr>
                <w:color w:val="000000"/>
              </w:rPr>
              <w:t>ского муниципального района Ленинградской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F7AF2" w:rsidRPr="002A17E0" w:rsidTr="00CF7AF2">
        <w:trPr>
          <w:trHeight w:val="145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Администрация мун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ципального образования Волосовский муниц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пальный район Лени</w:t>
            </w:r>
            <w:r w:rsidRPr="00D30D2B">
              <w:rPr>
                <w:color w:val="000000"/>
              </w:rPr>
              <w:t>н</w:t>
            </w:r>
            <w:r w:rsidRPr="00D30D2B">
              <w:rPr>
                <w:color w:val="000000"/>
              </w:rPr>
              <w:t>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F7AF2" w:rsidRPr="002A17E0" w:rsidTr="00CF7AF2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образования администрации Вол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совского муниципальн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го района Ленингра</w:t>
            </w:r>
            <w:r w:rsidRPr="00D30D2B">
              <w:rPr>
                <w:color w:val="000000"/>
              </w:rPr>
              <w:t>д</w:t>
            </w:r>
            <w:r w:rsidRPr="00D30D2B">
              <w:rPr>
                <w:color w:val="000000"/>
              </w:rPr>
              <w:t>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F7AF2" w:rsidRPr="002A17E0" w:rsidTr="00CF7AF2">
        <w:trPr>
          <w:trHeight w:val="18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AF2" w:rsidRPr="00D30D2B" w:rsidRDefault="00CF7AF2" w:rsidP="002A17E0">
            <w:pPr>
              <w:jc w:val="both"/>
              <w:rPr>
                <w:color w:val="000000"/>
              </w:rPr>
            </w:pPr>
            <w:r w:rsidRPr="00D30D2B">
              <w:rPr>
                <w:color w:val="000000"/>
              </w:rPr>
              <w:t>Комитет по городскому хозяйству администр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ции муниципального о</w:t>
            </w:r>
            <w:r w:rsidRPr="00D30D2B">
              <w:rPr>
                <w:color w:val="000000"/>
              </w:rPr>
              <w:t>б</w:t>
            </w:r>
            <w:r w:rsidRPr="00D30D2B">
              <w:rPr>
                <w:color w:val="000000"/>
              </w:rPr>
              <w:t>разования Волосовский муниципальный район Ленинградской области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F7AF2" w:rsidRPr="00D30D2B" w:rsidTr="00CF7AF2">
        <w:trPr>
          <w:trHeight w:val="11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Оценка среднего уровня   к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чества финансового менед</w:t>
            </w:r>
            <w:r w:rsidRPr="00D30D2B">
              <w:rPr>
                <w:color w:val="000000"/>
              </w:rPr>
              <w:t>ж</w:t>
            </w:r>
            <w:r w:rsidRPr="00D30D2B">
              <w:rPr>
                <w:color w:val="000000"/>
              </w:rPr>
              <w:t xml:space="preserve">мента ГРБС (MR)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D30D2B" w:rsidRDefault="00CF7AF2" w:rsidP="002A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D30D2B" w:rsidRDefault="00CF7AF2" w:rsidP="002A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D30D2B" w:rsidRDefault="00CF7AF2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D30D2B" w:rsidRDefault="00CF7AF2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D30D2B" w:rsidRDefault="00CF7AF2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 xml:space="preserve">X       </w:t>
            </w:r>
          </w:p>
        </w:tc>
      </w:tr>
    </w:tbl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6"/>
        <w:gridCol w:w="2315"/>
        <w:gridCol w:w="1203"/>
        <w:gridCol w:w="2256"/>
        <w:gridCol w:w="2558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951CE7">
        <w:trPr>
          <w:cantSplit/>
          <w:trHeight w:val="3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Pr="00951CE7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Доля  объема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бюджета в IV квартале от средн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го объема расходов за   1-III кварталы (без учета субве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ций и субсидий)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CF7AF2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онного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пр</w:t>
            </w:r>
            <w:proofErr w:type="gramEnd"/>
            <w:r w:rsidRPr="00951CE7">
              <w:rPr>
                <w:color w:val="000000"/>
              </w:rPr>
              <w:t>и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вании деятельности на год необходимо по возможности план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больший объем мероприятий ос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ществляемых за счет средств  бюджета района  на второй – третий кварталы.</w:t>
            </w:r>
            <w:r w:rsidRPr="00951CE7">
              <w:rPr>
                <w:color w:val="000000"/>
              </w:rPr>
              <w:br/>
              <w:t>Также необходимо более точно подх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дить к балансировке доходов и расходов на этапе составления проекта</w:t>
            </w:r>
            <w:r w:rsidR="003D6695">
              <w:rPr>
                <w:color w:val="000000"/>
              </w:rPr>
              <w:t xml:space="preserve"> районного</w:t>
            </w:r>
            <w:r w:rsidRPr="00951CE7">
              <w:rPr>
                <w:color w:val="000000"/>
              </w:rPr>
              <w:t xml:space="preserve"> бюджета, чтобы обе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печить необходимую равномерность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течение года</w:t>
            </w:r>
          </w:p>
        </w:tc>
      </w:tr>
      <w:tr w:rsidR="005544D9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Количество ув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домлений о внес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изменений в бюджетную ро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пись расходов и лимитов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обязательств, связанных с пер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мещением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ассигнований, в ходе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CF7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CF7AF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ных доходов </w:t>
            </w:r>
            <w:r w:rsidR="003D6695">
              <w:rPr>
                <w:color w:val="000000"/>
              </w:rPr>
              <w:t>ра</w:t>
            </w:r>
            <w:r w:rsidR="003D6695">
              <w:rPr>
                <w:color w:val="000000"/>
              </w:rPr>
              <w:t>й</w:t>
            </w:r>
            <w:r w:rsidR="003D6695">
              <w:rPr>
                <w:color w:val="000000"/>
              </w:rPr>
              <w:t xml:space="preserve">онного </w:t>
            </w:r>
            <w:r w:rsidRPr="00951CE7">
              <w:rPr>
                <w:color w:val="000000"/>
              </w:rPr>
              <w:t>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lastRenderedPageBreak/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рассмотреть целесообразность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менения подходов к планированию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с целью их более обоснованного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пределения в течение года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</w:t>
            </w:r>
            <w:proofErr w:type="gramStart"/>
            <w:r w:rsidRPr="00951CE7">
              <w:rPr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CF7AF2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по планированию, в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разившееся в большом колич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стве изменений сводной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ставлять в комитет финансов предлож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ния по внесению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менений в сводную бюджетную роспись только в случае кра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ней необходимости и провести работу с подведомственными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необходимости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учреждений в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CF7AF2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</w:t>
            </w:r>
            <w:r w:rsidR="005544D9" w:rsidRPr="005544D9">
              <w:t>е</w:t>
            </w:r>
            <w:r w:rsidR="005544D9" w:rsidRPr="005544D9">
              <w:t>биторской</w:t>
            </w:r>
            <w:r w:rsidRPr="005544D9">
              <w:t xml:space="preserve"> задо</w:t>
            </w:r>
            <w:r w:rsidRPr="005544D9">
              <w:t>л</w:t>
            </w:r>
            <w:r w:rsidRPr="005544D9">
              <w:t>женности являю</w:t>
            </w:r>
            <w:r w:rsidRPr="005544D9">
              <w:t>т</w:t>
            </w:r>
            <w:r w:rsidRPr="005544D9">
              <w:t>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предоста</w:t>
            </w:r>
            <w:r w:rsidR="005544D9" w:rsidRPr="00A51785">
              <w:t>в</w:t>
            </w:r>
            <w:r w:rsidR="005544D9" w:rsidRPr="00A51785">
              <w:t>ление авансов в с</w:t>
            </w:r>
            <w:r w:rsidR="005544D9" w:rsidRPr="00A51785">
              <w:t>о</w:t>
            </w:r>
            <w:r w:rsidR="005544D9" w:rsidRPr="00A51785">
              <w:t>ответствии с усл</w:t>
            </w:r>
            <w:r w:rsidR="005544D9" w:rsidRPr="00A51785">
              <w:t>о</w:t>
            </w:r>
            <w:r w:rsidR="005544D9" w:rsidRPr="00A51785">
              <w:t>виями соглашения, договора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суммы налогов, сборов,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</w:t>
            </w:r>
            <w:r w:rsidRPr="003E47F1">
              <w:t>к</w:t>
            </w:r>
            <w:r w:rsidRPr="003E47F1">
              <w:t>туризации, погаш</w:t>
            </w:r>
            <w:r w:rsidRPr="003E47F1">
              <w:t>е</w:t>
            </w:r>
            <w:r w:rsidRPr="003E47F1">
              <w:t>нию)</w:t>
            </w:r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155"/>
        <w:gridCol w:w="2565"/>
        <w:gridCol w:w="2680"/>
      </w:tblGrid>
      <w:tr w:rsidR="00AB0A46" w:rsidRPr="00AB0A46" w:rsidTr="00F40713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Волосо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муниципального района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6722C1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6722C1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Вол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совского муниципальн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района Ленингра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CF7AF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объем бюджетных ассигнований, пер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распределенных  за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четный период (для ГРБС, имеющих по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ведомственную сеть учреждений - между подведомственными    муниципальными учреждениями) без учета изменений, вн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сенных в связи с уто</w:t>
            </w:r>
            <w:r w:rsidRPr="004724E1">
              <w:rPr>
                <w:lang w:eastAsia="en-US"/>
              </w:rPr>
              <w:t>ч</w:t>
            </w:r>
            <w:r w:rsidRPr="004724E1">
              <w:rPr>
                <w:lang w:eastAsia="en-US"/>
              </w:rPr>
              <w:t>нением местного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rPr>
                <w:color w:val="000000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 асси</w:t>
            </w:r>
            <w:r w:rsidRPr="004724E1">
              <w:rPr>
                <w:color w:val="000000"/>
              </w:rPr>
              <w:t>г</w:t>
            </w:r>
            <w:r w:rsidRPr="004724E1">
              <w:rPr>
                <w:color w:val="000000"/>
              </w:rPr>
              <w:t>нований  по КОСГУ  и КВР  в сметах подв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домственных учрежд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ний. Проводить метод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логическую работу со специалистами учр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ждений по вопросам планирования  бюдже</w:t>
            </w:r>
            <w:r w:rsidRPr="004724E1">
              <w:rPr>
                <w:color w:val="000000"/>
              </w:rPr>
              <w:t>т</w:t>
            </w:r>
            <w:r w:rsidRPr="004724E1">
              <w:rPr>
                <w:color w:val="000000"/>
              </w:rPr>
              <w:t>ных ассигнований.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C5608B" w:rsidRDefault="00CF7AF2" w:rsidP="00227D5D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CF7AF2" w:rsidRPr="004724E1" w:rsidRDefault="00CF7AF2" w:rsidP="00227D5D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722C1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722C1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Pr="004724E1">
              <w:rPr>
                <w:lang w:eastAsia="en-US"/>
              </w:rPr>
              <w:t>к</w:t>
            </w:r>
            <w:r w:rsidRPr="004724E1">
              <w:rPr>
                <w:lang w:eastAsia="en-US"/>
              </w:rPr>
              <w:t>ции о порядке составл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ния, представления г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довой, квартальной бу</w:t>
            </w:r>
            <w:r w:rsidRPr="004724E1">
              <w:rPr>
                <w:lang w:eastAsia="en-US"/>
              </w:rPr>
              <w:t>х</w:t>
            </w:r>
            <w:r w:rsidRPr="004724E1">
              <w:rPr>
                <w:lang w:eastAsia="en-US"/>
              </w:rPr>
              <w:t>галтерской отчетности государственных (м</w:t>
            </w:r>
            <w:r w:rsidRPr="004724E1">
              <w:rPr>
                <w:lang w:eastAsia="en-US"/>
              </w:rPr>
              <w:t>у</w:t>
            </w:r>
            <w:r w:rsidRPr="004724E1">
              <w:rPr>
                <w:lang w:eastAsia="en-US"/>
              </w:rPr>
              <w:t>ниципальных)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CF7AF2" w:rsidRPr="004724E1" w:rsidTr="00CF7AF2">
        <w:trPr>
          <w:cantSplit/>
          <w:trHeight w:val="3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F2" w:rsidRDefault="00CF7AF2" w:rsidP="00951CE7">
            <w:pPr>
              <w:jc w:val="both"/>
              <w:rPr>
                <w:color w:val="000000"/>
              </w:rPr>
            </w:pPr>
            <w:r w:rsidRPr="004724E1">
              <w:rPr>
                <w:color w:val="000000"/>
              </w:rPr>
              <w:t>Комитет по городскому хозяйству администр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ции муниципального образования Волосо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ский муниципальный район Ленинградской области</w:t>
            </w:r>
          </w:p>
          <w:p w:rsidR="00CF7AF2" w:rsidRDefault="00CF7AF2" w:rsidP="00951CE7">
            <w:pPr>
              <w:jc w:val="both"/>
              <w:rPr>
                <w:color w:val="000000"/>
              </w:rPr>
            </w:pPr>
          </w:p>
          <w:p w:rsidR="00CF7AF2" w:rsidRDefault="00CF7AF2" w:rsidP="00951CE7">
            <w:pPr>
              <w:jc w:val="both"/>
              <w:rPr>
                <w:color w:val="000000"/>
              </w:rPr>
            </w:pPr>
          </w:p>
          <w:p w:rsidR="00CF7AF2" w:rsidRDefault="00CF7AF2" w:rsidP="00951CE7">
            <w:pPr>
              <w:jc w:val="both"/>
              <w:rPr>
                <w:color w:val="000000"/>
              </w:rPr>
            </w:pPr>
          </w:p>
          <w:p w:rsidR="00CF7AF2" w:rsidRPr="004724E1" w:rsidRDefault="00CF7AF2" w:rsidP="00951CE7">
            <w:pPr>
              <w:jc w:val="both"/>
              <w:rPr>
                <w:color w:val="000000"/>
              </w:rPr>
            </w:pPr>
          </w:p>
          <w:p w:rsidR="00CF7AF2" w:rsidRPr="004724E1" w:rsidRDefault="00CF7AF2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доля объема расходов бюджета в IV квартале от среднего объема расходов за I-III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талы (без учета су</w:t>
            </w:r>
            <w:r w:rsidRPr="004724E1">
              <w:rPr>
                <w:lang w:eastAsia="en-US"/>
              </w:rPr>
              <w:t>б</w:t>
            </w:r>
            <w:r w:rsidRPr="004724E1">
              <w:rPr>
                <w:lang w:eastAsia="en-US"/>
              </w:rPr>
              <w:t>венций и субсидий);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color w:val="000000"/>
              </w:rPr>
            </w:pPr>
          </w:p>
          <w:p w:rsidR="00CF7AF2" w:rsidRPr="004724E1" w:rsidRDefault="00CF7AF2" w:rsidP="00B31F09">
            <w:pPr>
              <w:jc w:val="both"/>
              <w:rPr>
                <w:color w:val="000000"/>
              </w:rPr>
            </w:pPr>
          </w:p>
          <w:p w:rsidR="00CF7AF2" w:rsidRPr="004724E1" w:rsidRDefault="00CF7AF2" w:rsidP="00B31F09">
            <w:pPr>
              <w:jc w:val="both"/>
              <w:rPr>
                <w:color w:val="000000"/>
              </w:rPr>
            </w:pPr>
          </w:p>
          <w:p w:rsidR="00CF7AF2" w:rsidRPr="004724E1" w:rsidRDefault="00CF7AF2" w:rsidP="00B31F09">
            <w:pPr>
              <w:jc w:val="both"/>
              <w:rPr>
                <w:color w:val="000000"/>
              </w:rPr>
            </w:pPr>
          </w:p>
          <w:p w:rsidR="00CF7AF2" w:rsidRPr="004724E1" w:rsidRDefault="00CF7AF2" w:rsidP="00B31F09">
            <w:pPr>
              <w:jc w:val="both"/>
              <w:rPr>
                <w:color w:val="000000"/>
              </w:rPr>
            </w:pPr>
          </w:p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CF7AF2" w:rsidRPr="004724E1" w:rsidTr="00665EF1">
        <w:trPr>
          <w:cantSplit/>
          <w:trHeight w:val="1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F2" w:rsidRPr="004724E1" w:rsidRDefault="00CF7AF2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65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Pr="00665EF1">
              <w:rPr>
                <w:lang w:eastAsia="en-US"/>
              </w:rPr>
              <w:t>бъем неисполненных бюджетных ассигнов</w:t>
            </w:r>
            <w:r w:rsidRPr="00665EF1">
              <w:rPr>
                <w:lang w:eastAsia="en-US"/>
              </w:rPr>
              <w:t>а</w:t>
            </w:r>
            <w:r w:rsidRPr="00665EF1">
              <w:rPr>
                <w:lang w:eastAsia="en-US"/>
              </w:rPr>
              <w:t>ний на конец отчетного финансового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F2" w:rsidRPr="004724E1" w:rsidRDefault="00CF7AF2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227D5D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C5608B" w:rsidRDefault="00CF7AF2" w:rsidP="00227D5D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CF7AF2" w:rsidRPr="004724E1" w:rsidRDefault="00CF7AF2" w:rsidP="00227D5D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 Волосовский муниц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район Лени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CF7AF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</w:pPr>
          </w:p>
          <w:p w:rsidR="00CF7AF2" w:rsidRPr="004724E1" w:rsidRDefault="00CF7AF2" w:rsidP="00B31F09">
            <w:pPr>
              <w:jc w:val="both"/>
            </w:pPr>
          </w:p>
          <w:p w:rsidR="00CF7AF2" w:rsidRPr="004724E1" w:rsidRDefault="00CF7AF2" w:rsidP="00B31F09">
            <w:pPr>
              <w:jc w:val="both"/>
            </w:pPr>
          </w:p>
          <w:p w:rsidR="00CF7AF2" w:rsidRPr="004724E1" w:rsidRDefault="00CF7AF2" w:rsidP="00B31F09">
            <w:pPr>
              <w:jc w:val="both"/>
            </w:pPr>
          </w:p>
          <w:p w:rsidR="00CF7AF2" w:rsidRPr="004724E1" w:rsidRDefault="00CF7AF2" w:rsidP="00B31F09">
            <w:pPr>
              <w:jc w:val="both"/>
            </w:pPr>
          </w:p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242A44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242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Pr="00242A44">
              <w:rPr>
                <w:lang w:eastAsia="en-US"/>
              </w:rPr>
              <w:t>бъем неисполненных бюджетных ассигнов</w:t>
            </w:r>
            <w:r w:rsidRPr="00242A44">
              <w:rPr>
                <w:lang w:eastAsia="en-US"/>
              </w:rPr>
              <w:t>а</w:t>
            </w:r>
            <w:r w:rsidRPr="00242A44">
              <w:rPr>
                <w:lang w:eastAsia="en-US"/>
              </w:rPr>
              <w:t>ний на конец отчетного финансового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227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B31F09">
            <w:pPr>
              <w:jc w:val="both"/>
              <w:rPr>
                <w:lang w:eastAsia="en-US"/>
              </w:rPr>
            </w:pPr>
          </w:p>
        </w:tc>
      </w:tr>
      <w:tr w:rsidR="00CF7AF2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7D509F" w:rsidRDefault="00CF7AF2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D509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ством администрации муниципального обр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зования Волосовский муниципальный район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E17B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E1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722C1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CF7AF2" w:rsidRPr="004724E1" w:rsidRDefault="00CF7AF2" w:rsidP="00242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42A44">
              <w:rPr>
                <w:lang w:eastAsia="en-US"/>
              </w:rPr>
              <w:t>Оценка качества пл</w:t>
            </w:r>
            <w:r w:rsidR="00242A44">
              <w:rPr>
                <w:lang w:eastAsia="en-US"/>
              </w:rPr>
              <w:t>а</w:t>
            </w:r>
            <w:r w:rsidR="00242A44">
              <w:rPr>
                <w:lang w:eastAsia="en-US"/>
              </w:rPr>
              <w:t>нирования бюджетных ассигнований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2" w:rsidRPr="004724E1" w:rsidRDefault="00CF7AF2" w:rsidP="006722C1">
            <w:pPr>
              <w:jc w:val="both"/>
            </w:pPr>
          </w:p>
          <w:p w:rsidR="00CF7AF2" w:rsidRPr="004724E1" w:rsidRDefault="00CF7AF2" w:rsidP="006722C1">
            <w:pPr>
              <w:jc w:val="both"/>
            </w:pPr>
          </w:p>
          <w:p w:rsidR="00CF7AF2" w:rsidRPr="004724E1" w:rsidRDefault="00CF7AF2" w:rsidP="006722C1">
            <w:pPr>
              <w:jc w:val="both"/>
            </w:pPr>
          </w:p>
          <w:p w:rsidR="00CF7AF2" w:rsidRPr="004724E1" w:rsidRDefault="00CF7AF2" w:rsidP="006722C1">
            <w:pPr>
              <w:jc w:val="both"/>
            </w:pPr>
          </w:p>
          <w:p w:rsidR="00CF7AF2" w:rsidRPr="004724E1" w:rsidRDefault="00CF7AF2" w:rsidP="006722C1">
            <w:pPr>
              <w:jc w:val="both"/>
            </w:pPr>
          </w:p>
          <w:p w:rsidR="00CF7AF2" w:rsidRPr="004724E1" w:rsidRDefault="00242A44" w:rsidP="00CC759A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242A44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Default="00242A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7D509F" w:rsidRDefault="00242A44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Default="00242A44" w:rsidP="00242A4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227D5D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44" w:rsidRPr="004724E1" w:rsidRDefault="00242A44" w:rsidP="00227D5D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</w:tbl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21" w:rsidRDefault="00287421" w:rsidP="00951CE7">
      <w:r>
        <w:separator/>
      </w:r>
    </w:p>
  </w:endnote>
  <w:endnote w:type="continuationSeparator" w:id="0">
    <w:p w:rsidR="00287421" w:rsidRDefault="00287421" w:rsidP="0095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41720"/>
      <w:docPartObj>
        <w:docPartGallery w:val="Page Numbers (Bottom of Page)"/>
        <w:docPartUnique/>
      </w:docPartObj>
    </w:sdtPr>
    <w:sdtEndPr/>
    <w:sdtContent>
      <w:p w:rsidR="006F056F" w:rsidRDefault="006F05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B2">
          <w:rPr>
            <w:noProof/>
          </w:rPr>
          <w:t>12</w:t>
        </w:r>
        <w:r>
          <w:fldChar w:fldCharType="end"/>
        </w:r>
      </w:p>
    </w:sdtContent>
  </w:sdt>
  <w:p w:rsidR="006F056F" w:rsidRDefault="006F05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21" w:rsidRDefault="00287421" w:rsidP="00951CE7">
      <w:r>
        <w:separator/>
      </w:r>
    </w:p>
  </w:footnote>
  <w:footnote w:type="continuationSeparator" w:id="0">
    <w:p w:rsidR="00287421" w:rsidRDefault="00287421" w:rsidP="0095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6"/>
    <w:rsid w:val="000110EB"/>
    <w:rsid w:val="00011298"/>
    <w:rsid w:val="000160FB"/>
    <w:rsid w:val="00077CF2"/>
    <w:rsid w:val="000B5EDC"/>
    <w:rsid w:val="000D7944"/>
    <w:rsid w:val="0010169F"/>
    <w:rsid w:val="00103DBE"/>
    <w:rsid w:val="00112E18"/>
    <w:rsid w:val="00125AB0"/>
    <w:rsid w:val="00134C08"/>
    <w:rsid w:val="00136668"/>
    <w:rsid w:val="00144CF3"/>
    <w:rsid w:val="0017078D"/>
    <w:rsid w:val="00175ECC"/>
    <w:rsid w:val="001E285D"/>
    <w:rsid w:val="001E337C"/>
    <w:rsid w:val="001F3846"/>
    <w:rsid w:val="0020217B"/>
    <w:rsid w:val="00203FF4"/>
    <w:rsid w:val="00227D5D"/>
    <w:rsid w:val="00242A44"/>
    <w:rsid w:val="00287421"/>
    <w:rsid w:val="002A17E0"/>
    <w:rsid w:val="002C26D0"/>
    <w:rsid w:val="002D1D3D"/>
    <w:rsid w:val="002E34B2"/>
    <w:rsid w:val="003223AC"/>
    <w:rsid w:val="00330297"/>
    <w:rsid w:val="00335273"/>
    <w:rsid w:val="00356ECE"/>
    <w:rsid w:val="003707E5"/>
    <w:rsid w:val="00371B15"/>
    <w:rsid w:val="00375428"/>
    <w:rsid w:val="003B37FD"/>
    <w:rsid w:val="003D6695"/>
    <w:rsid w:val="003E47F1"/>
    <w:rsid w:val="003F7E53"/>
    <w:rsid w:val="004203E1"/>
    <w:rsid w:val="004724E1"/>
    <w:rsid w:val="004A1A4B"/>
    <w:rsid w:val="004C61CF"/>
    <w:rsid w:val="004D4880"/>
    <w:rsid w:val="005544D9"/>
    <w:rsid w:val="00556995"/>
    <w:rsid w:val="0057685F"/>
    <w:rsid w:val="00597F13"/>
    <w:rsid w:val="005A74A9"/>
    <w:rsid w:val="005C256D"/>
    <w:rsid w:val="006154D4"/>
    <w:rsid w:val="006276C4"/>
    <w:rsid w:val="0063032C"/>
    <w:rsid w:val="00647978"/>
    <w:rsid w:val="00657BD7"/>
    <w:rsid w:val="0066457F"/>
    <w:rsid w:val="00665EF1"/>
    <w:rsid w:val="006722C1"/>
    <w:rsid w:val="00687614"/>
    <w:rsid w:val="006B36C0"/>
    <w:rsid w:val="006B7C77"/>
    <w:rsid w:val="006E17B2"/>
    <w:rsid w:val="006E6D76"/>
    <w:rsid w:val="006F056F"/>
    <w:rsid w:val="006F1F49"/>
    <w:rsid w:val="0072113C"/>
    <w:rsid w:val="007471E8"/>
    <w:rsid w:val="00751D5C"/>
    <w:rsid w:val="00760470"/>
    <w:rsid w:val="0079367C"/>
    <w:rsid w:val="007C737E"/>
    <w:rsid w:val="007D509F"/>
    <w:rsid w:val="00815627"/>
    <w:rsid w:val="008355F7"/>
    <w:rsid w:val="00864ED3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62976"/>
    <w:rsid w:val="00972791"/>
    <w:rsid w:val="00983105"/>
    <w:rsid w:val="00994EC4"/>
    <w:rsid w:val="009A1231"/>
    <w:rsid w:val="009D3F8E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90674"/>
    <w:rsid w:val="00AB0A46"/>
    <w:rsid w:val="00AB1B6B"/>
    <w:rsid w:val="00B20973"/>
    <w:rsid w:val="00B31F09"/>
    <w:rsid w:val="00B4489C"/>
    <w:rsid w:val="00B82336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CA7F7B"/>
    <w:rsid w:val="00CC759A"/>
    <w:rsid w:val="00CF7AF2"/>
    <w:rsid w:val="00D02365"/>
    <w:rsid w:val="00D30D2B"/>
    <w:rsid w:val="00DD0250"/>
    <w:rsid w:val="00DD7268"/>
    <w:rsid w:val="00E036E1"/>
    <w:rsid w:val="00E40E89"/>
    <w:rsid w:val="00E8343A"/>
    <w:rsid w:val="00E845E1"/>
    <w:rsid w:val="00E87305"/>
    <w:rsid w:val="00EB003E"/>
    <w:rsid w:val="00EF2BE8"/>
    <w:rsid w:val="00F40713"/>
    <w:rsid w:val="00F56274"/>
    <w:rsid w:val="00F84FA6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каждой группы показателей в общей оценке качества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cat>
            <c:strRef>
              <c:f>Лист1!$A$2:$A$6</c:f>
              <c:strCache>
                <c:ptCount val="5"/>
                <c:pt idx="0">
                  <c:v>оценка механизмов планирования расходов бюджета – 11.9 %;</c:v>
                </c:pt>
                <c:pt idx="1">
                  <c:v>оценка результатов исполнения бюджета в части  расходов – 29.4 % ;</c:v>
                </c:pt>
                <c:pt idx="2">
                  <c:v> оценка управления обязательствами в процессе исполнения бюджета –23.5 %;</c:v>
                </c:pt>
                <c:pt idx="3">
                  <c:v>оценка состояния учета и отчетности  - 17.6 %;</c:v>
                </c:pt>
                <c:pt idx="4">
                  <c:v>оценка организации контроля  17.6 %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29.4</c:v>
                </c:pt>
                <c:pt idx="2">
                  <c:v>23.5</c:v>
                </c:pt>
                <c:pt idx="3">
                  <c:v>17.600000000000001</c:v>
                </c:pt>
                <c:pt idx="4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3998250218724"/>
          <c:y val="0.19832333458317711"/>
          <c:w val="0.33847112860892387"/>
          <c:h val="0.74204349456317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оценки качества финансового менеджмента за 2017 - 2019 годы ГРБС Волосовского муниципального района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2017год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63</c:v>
                </c:pt>
                <c:pt idx="1">
                  <c:v>66</c:v>
                </c:pt>
                <c:pt idx="2">
                  <c:v>62</c:v>
                </c:pt>
                <c:pt idx="3">
                  <c:v>70</c:v>
                </c:pt>
                <c:pt idx="4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64</c:v>
                </c:pt>
                <c:pt idx="1">
                  <c:v>79</c:v>
                </c:pt>
                <c:pt idx="2">
                  <c:v>55</c:v>
                </c:pt>
                <c:pt idx="3">
                  <c:v>70</c:v>
                </c:pt>
                <c:pt idx="4">
                  <c:v>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61</c:v>
                </c:pt>
                <c:pt idx="1">
                  <c:v>81</c:v>
                </c:pt>
                <c:pt idx="2">
                  <c:v>54</c:v>
                </c:pt>
                <c:pt idx="3">
                  <c:v>73</c:v>
                </c:pt>
                <c:pt idx="4">
                  <c:v>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38880"/>
        <c:axId val="139340416"/>
      </c:lineChart>
      <c:catAx>
        <c:axId val="1393388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9340416"/>
        <c:crosses val="autoZero"/>
        <c:auto val="1"/>
        <c:lblAlgn val="ctr"/>
        <c:lblOffset val="100"/>
        <c:noMultiLvlLbl val="0"/>
      </c:catAx>
      <c:valAx>
        <c:axId val="139340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Итоговая оценка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933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587C-43EE-46F0-90DA-887CECD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64</cp:revision>
  <cp:lastPrinted>2020-06-11T10:53:00Z</cp:lastPrinted>
  <dcterms:created xsi:type="dcterms:W3CDTF">2017-03-29T13:19:00Z</dcterms:created>
  <dcterms:modified xsi:type="dcterms:W3CDTF">2020-06-11T10:54:00Z</dcterms:modified>
</cp:coreProperties>
</file>